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9FB" w:rsidRDefault="009959FB" w:rsidP="009959FB">
      <w:r>
        <w:fldChar w:fldCharType="begin"/>
      </w:r>
      <w:r>
        <w:instrText xml:space="preserve"> HYPERLINK "https://www.ito.org.tr/tr/hizmetler/ticaret-sicili-islemleri/tescil-islemleri/limited-sirketler" </w:instrText>
      </w:r>
      <w:r>
        <w:fldChar w:fldCharType="separate"/>
      </w:r>
      <w:r>
        <w:rPr>
          <w:rStyle w:val="Kpr"/>
          <w:rFonts w:ascii="Arial" w:hAnsi="Arial" w:cs="Arial"/>
          <w:b/>
          <w:bCs/>
          <w:color w:val="015B65"/>
          <w:sz w:val="30"/>
          <w:szCs w:val="30"/>
          <w:shd w:val="clear" w:color="auto" w:fill="FFFFFF"/>
        </w:rPr>
        <w:t xml:space="preserve">Limited Şirket Esas Sermaye </w:t>
      </w:r>
      <w:proofErr w:type="spellStart"/>
      <w:r>
        <w:rPr>
          <w:rStyle w:val="Kpr"/>
          <w:rFonts w:ascii="Arial" w:hAnsi="Arial" w:cs="Arial"/>
          <w:b/>
          <w:bCs/>
          <w:color w:val="015B65"/>
          <w:sz w:val="30"/>
          <w:szCs w:val="30"/>
          <w:shd w:val="clear" w:color="auto" w:fill="FFFFFF"/>
        </w:rPr>
        <w:t>Azaltım</w:t>
      </w:r>
      <w:proofErr w:type="spellEnd"/>
      <w:r>
        <w:rPr>
          <w:rStyle w:val="Kpr"/>
          <w:rFonts w:ascii="Arial" w:hAnsi="Arial" w:cs="Arial"/>
          <w:b/>
          <w:bCs/>
          <w:color w:val="015B65"/>
          <w:sz w:val="30"/>
          <w:szCs w:val="30"/>
          <w:shd w:val="clear" w:color="auto" w:fill="FFFFFF"/>
        </w:rPr>
        <w:t xml:space="preserve"> İşlemi</w:t>
      </w:r>
      <w:r>
        <w:fldChar w:fldCharType="end"/>
      </w:r>
    </w:p>
    <w:p w:rsidR="009959FB" w:rsidRDefault="009959FB" w:rsidP="009959FB">
      <w:pPr>
        <w:pStyle w:val="NormalWeb"/>
        <w:spacing w:before="0" w:beforeAutospacing="0" w:after="0" w:afterAutospacing="0"/>
        <w:jc w:val="both"/>
        <w:rPr>
          <w:rFonts w:ascii="Arial" w:hAnsi="Arial" w:cs="Arial"/>
          <w:color w:val="0D0D0D"/>
        </w:rPr>
      </w:pPr>
      <w:r>
        <w:rPr>
          <w:rFonts w:ascii="Arial" w:hAnsi="Arial" w:cs="Arial"/>
          <w:color w:val="0D0D0D"/>
        </w:rPr>
        <w:t xml:space="preserve">Limited şirket esas sermaye </w:t>
      </w:r>
      <w:proofErr w:type="spellStart"/>
      <w:r>
        <w:rPr>
          <w:rFonts w:ascii="Arial" w:hAnsi="Arial" w:cs="Arial"/>
          <w:color w:val="0D0D0D"/>
        </w:rPr>
        <w:t>azaltım</w:t>
      </w:r>
      <w:proofErr w:type="spellEnd"/>
      <w:r>
        <w:rPr>
          <w:rFonts w:ascii="Arial" w:hAnsi="Arial" w:cs="Arial"/>
          <w:color w:val="0D0D0D"/>
        </w:rPr>
        <w:t xml:space="preserve"> işlemi TTK m. 592’de düzenlenmiştir. Buna göre, anonim şirketlerin esas sermayenin azaltılmasına ilişkin hükümleri </w:t>
      </w:r>
      <w:proofErr w:type="spellStart"/>
      <w:r>
        <w:rPr>
          <w:rFonts w:ascii="Arial" w:hAnsi="Arial" w:cs="Arial"/>
          <w:color w:val="0D0D0D"/>
        </w:rPr>
        <w:t>limited</w:t>
      </w:r>
      <w:proofErr w:type="spellEnd"/>
      <w:r>
        <w:rPr>
          <w:rFonts w:ascii="Arial" w:hAnsi="Arial" w:cs="Arial"/>
          <w:color w:val="0D0D0D"/>
        </w:rPr>
        <w:t xml:space="preserve"> şirketlere kıyas yoluyla uygulanır. Esas sermaye borca batık bilançonun iyileştirilmesi amacıyla, ancak şirket sözleşmesinde öngörülen ek ödeme yükümlülüklerinin tamamen ödenmesi hâlinde azaltılabilir.</w:t>
      </w:r>
    </w:p>
    <w:p w:rsidR="009959FB" w:rsidRDefault="009959FB" w:rsidP="009959FB">
      <w:pPr>
        <w:pStyle w:val="NormalWeb"/>
        <w:spacing w:before="0" w:beforeAutospacing="0" w:after="0" w:afterAutospacing="0"/>
        <w:jc w:val="both"/>
        <w:rPr>
          <w:color w:val="0D0D0D"/>
        </w:rPr>
      </w:pPr>
    </w:p>
    <w:p w:rsidR="009959FB" w:rsidRDefault="009959FB" w:rsidP="009959FB">
      <w:pPr>
        <w:pStyle w:val="NormalWeb"/>
        <w:spacing w:before="0" w:beforeAutospacing="0" w:after="0" w:afterAutospacing="0"/>
        <w:jc w:val="both"/>
        <w:rPr>
          <w:color w:val="0D0D0D"/>
        </w:rPr>
      </w:pPr>
      <w:proofErr w:type="spellStart"/>
      <w:r>
        <w:rPr>
          <w:rFonts w:ascii="Arial" w:hAnsi="Arial" w:cs="Arial"/>
          <w:b/>
          <w:bCs/>
          <w:color w:val="FF0000"/>
          <w:shd w:val="clear" w:color="auto" w:fill="FFFFFF"/>
        </w:rPr>
        <w:t>MERSİS’ten</w:t>
      </w:r>
      <w:proofErr w:type="spellEnd"/>
      <w:r>
        <w:rPr>
          <w:rFonts w:ascii="Arial" w:hAnsi="Arial" w:cs="Arial"/>
          <w:b/>
          <w:bCs/>
          <w:color w:val="FF0000"/>
          <w:shd w:val="clear" w:color="auto" w:fill="FFFFFF"/>
        </w:rPr>
        <w:t xml:space="preserve"> başvuru yapılarak talep numarası alınmalı ve gerekli evraklar ile birlikte başvuru yapılmalıdır.</w:t>
      </w:r>
    </w:p>
    <w:p w:rsidR="009959FB" w:rsidRDefault="009959FB" w:rsidP="009959FB">
      <w:pPr>
        <w:pStyle w:val="NormalWeb"/>
        <w:spacing w:before="0" w:beforeAutospacing="0" w:after="0" w:afterAutospacing="0"/>
        <w:jc w:val="both"/>
        <w:rPr>
          <w:color w:val="0D0D0D"/>
        </w:rPr>
      </w:pPr>
      <w:r>
        <w:rPr>
          <w:rFonts w:ascii="Arial" w:hAnsi="Arial" w:cs="Arial"/>
          <w:color w:val="0D0D0D"/>
        </w:rPr>
        <w:t>1-) </w:t>
      </w:r>
      <w:hyperlink r:id="rId6" w:tgtFrame="_blank" w:history="1">
        <w:r>
          <w:rPr>
            <w:rStyle w:val="Kpr"/>
            <w:rFonts w:ascii="Arial" w:hAnsi="Arial" w:cs="Arial"/>
            <w:color w:val="007BFF"/>
          </w:rPr>
          <w:t>Dilekçe</w:t>
        </w:r>
      </w:hyperlink>
    </w:p>
    <w:p w:rsidR="009959FB" w:rsidRDefault="009959FB" w:rsidP="009959FB">
      <w:pPr>
        <w:numPr>
          <w:ilvl w:val="0"/>
          <w:numId w:val="17"/>
        </w:numPr>
        <w:spacing w:after="0" w:line="240" w:lineRule="auto"/>
        <w:ind w:left="0"/>
        <w:jc w:val="both"/>
        <w:rPr>
          <w:color w:val="0D0D0D"/>
          <w:sz w:val="27"/>
          <w:szCs w:val="27"/>
        </w:rPr>
      </w:pPr>
      <w:r>
        <w:rPr>
          <w:rFonts w:ascii="Arial" w:hAnsi="Arial" w:cs="Arial"/>
          <w:color w:val="0D0D0D"/>
        </w:rPr>
        <w:t>Şirket kaşesi ile yetkili tarafından imzalanmalı, ekindeki evrak dökümünü içermelidir.</w:t>
      </w:r>
    </w:p>
    <w:p w:rsidR="009959FB" w:rsidRDefault="009959FB" w:rsidP="009959FB">
      <w:pPr>
        <w:pStyle w:val="NormalWeb"/>
        <w:spacing w:before="0" w:beforeAutospacing="0" w:after="0" w:afterAutospacing="0"/>
        <w:jc w:val="both"/>
        <w:rPr>
          <w:color w:val="0D0D0D"/>
        </w:rPr>
      </w:pPr>
      <w:r>
        <w:rPr>
          <w:rFonts w:ascii="Arial" w:hAnsi="Arial" w:cs="Arial"/>
          <w:color w:val="0D0D0D"/>
        </w:rPr>
        <w:t xml:space="preserve">2-) Sermayenin azaltılmasının sebepleri ile azaltmanın amacı ve azaltmanın ne şekilde yapılacağını gösterir şirket müdürü veya müdürleri tarafından hazırlanmış ve genel kurul tarafından onaylanmış </w:t>
      </w:r>
      <w:r w:rsidRPr="009959FB">
        <w:rPr>
          <w:rFonts w:ascii="Arial" w:hAnsi="Arial" w:cs="Arial"/>
          <w:color w:val="FF0000"/>
        </w:rPr>
        <w:t xml:space="preserve">sermayenin azaltılmasına ilişkin rapor </w:t>
      </w:r>
      <w:r>
        <w:rPr>
          <w:rFonts w:ascii="Arial" w:hAnsi="Arial" w:cs="Arial"/>
          <w:color w:val="0D0D0D"/>
        </w:rPr>
        <w:t>(Ticaret Sicili Yönetmeliği m. 96/1-b).</w:t>
      </w:r>
    </w:p>
    <w:p w:rsidR="009959FB" w:rsidRDefault="009959FB" w:rsidP="009959FB">
      <w:pPr>
        <w:pStyle w:val="NormalWeb"/>
        <w:spacing w:before="0" w:beforeAutospacing="0" w:after="0" w:afterAutospacing="0"/>
        <w:jc w:val="both"/>
        <w:rPr>
          <w:color w:val="0D0D0D"/>
        </w:rPr>
      </w:pPr>
      <w:r>
        <w:rPr>
          <w:rFonts w:ascii="Arial" w:hAnsi="Arial" w:cs="Arial"/>
          <w:color w:val="0D0D0D"/>
        </w:rPr>
        <w:t xml:space="preserve">3-) Sermayenin azaltılmasına ilişkin şirket müdürleri raporunun onaylandığı ve sermayenin azaltılmasının ne tarzda yapılacağının gösterildiği ve şirket sözleşmesinin değişen maddesine ilişkin </w:t>
      </w:r>
      <w:r w:rsidRPr="00055654">
        <w:rPr>
          <w:rFonts w:ascii="Arial" w:hAnsi="Arial" w:cs="Arial"/>
          <w:color w:val="FF0000"/>
        </w:rPr>
        <w:t xml:space="preserve">tadil metnini </w:t>
      </w:r>
      <w:r>
        <w:rPr>
          <w:rFonts w:ascii="Arial" w:hAnsi="Arial" w:cs="Arial"/>
          <w:color w:val="0D0D0D"/>
        </w:rPr>
        <w:t xml:space="preserve">de içeren sermaye azaltılmasına dair </w:t>
      </w:r>
      <w:r w:rsidRPr="00055654">
        <w:rPr>
          <w:rFonts w:ascii="Arial" w:hAnsi="Arial" w:cs="Arial"/>
          <w:color w:val="FF0000"/>
        </w:rPr>
        <w:t xml:space="preserve">genel kurul kararının </w:t>
      </w:r>
      <w:r>
        <w:rPr>
          <w:rFonts w:ascii="Arial" w:hAnsi="Arial" w:cs="Arial"/>
          <w:color w:val="0D0D0D"/>
        </w:rPr>
        <w:t>noter onaylı sureti (Ticaret Sicili Yönetmeliği m. 96/1-a).</w:t>
      </w:r>
    </w:p>
    <w:p w:rsidR="009959FB" w:rsidRDefault="009959FB" w:rsidP="009959FB">
      <w:pPr>
        <w:numPr>
          <w:ilvl w:val="0"/>
          <w:numId w:val="18"/>
        </w:numPr>
        <w:spacing w:after="0" w:line="240" w:lineRule="auto"/>
        <w:ind w:left="0"/>
        <w:jc w:val="both"/>
        <w:rPr>
          <w:color w:val="0D0D0D"/>
          <w:sz w:val="27"/>
          <w:szCs w:val="27"/>
        </w:rPr>
      </w:pPr>
      <w:r>
        <w:rPr>
          <w:rFonts w:ascii="Arial" w:hAnsi="Arial" w:cs="Arial"/>
          <w:color w:val="0D0D0D"/>
        </w:rPr>
        <w:t>Limited şirkette, her ortağın koymuş olduğu sermaye payının 25 TL veya katları olması gerekmektedir.</w:t>
      </w:r>
    </w:p>
    <w:p w:rsidR="009959FB" w:rsidRDefault="009959FB" w:rsidP="009959FB">
      <w:pPr>
        <w:numPr>
          <w:ilvl w:val="0"/>
          <w:numId w:val="19"/>
        </w:numPr>
        <w:spacing w:after="0" w:line="240" w:lineRule="auto"/>
        <w:ind w:left="0"/>
        <w:jc w:val="both"/>
        <w:rPr>
          <w:color w:val="0D0D0D"/>
          <w:sz w:val="27"/>
          <w:szCs w:val="27"/>
        </w:rPr>
      </w:pPr>
      <w:r>
        <w:rPr>
          <w:rFonts w:ascii="Arial" w:hAnsi="Arial" w:cs="Arial"/>
          <w:color w:val="0D0D0D"/>
        </w:rPr>
        <w:t>Şirket sözleşmesinin sermaye maddesi düzenlenirken sermaye paylarının itibari değeri ile ortağa ait pay adedi de belirtilmelidir.</w:t>
      </w:r>
    </w:p>
    <w:p w:rsidR="009959FB" w:rsidRDefault="009959FB" w:rsidP="009959FB">
      <w:pPr>
        <w:pStyle w:val="NormalWeb"/>
        <w:spacing w:before="0" w:beforeAutospacing="0" w:after="0" w:afterAutospacing="0"/>
        <w:jc w:val="both"/>
        <w:rPr>
          <w:color w:val="0D0D0D"/>
        </w:rPr>
      </w:pPr>
      <w:r>
        <w:rPr>
          <w:rFonts w:ascii="Arial" w:hAnsi="Arial" w:cs="Arial"/>
          <w:color w:val="0D0D0D"/>
        </w:rPr>
        <w:t xml:space="preserve">4-) Ayrıca düzenlenmiş ise </w:t>
      </w:r>
      <w:proofErr w:type="spellStart"/>
      <w:r w:rsidRPr="009959FB">
        <w:rPr>
          <w:rFonts w:ascii="Arial" w:hAnsi="Arial" w:cs="Arial"/>
          <w:color w:val="FF0000"/>
        </w:rPr>
        <w:t>hazirun</w:t>
      </w:r>
      <w:proofErr w:type="spellEnd"/>
      <w:r w:rsidRPr="009959FB">
        <w:rPr>
          <w:rFonts w:ascii="Arial" w:hAnsi="Arial" w:cs="Arial"/>
          <w:color w:val="FF0000"/>
        </w:rPr>
        <w:t xml:space="preserve"> cetveli.</w:t>
      </w:r>
    </w:p>
    <w:p w:rsidR="009959FB" w:rsidRDefault="009959FB" w:rsidP="009959FB">
      <w:pPr>
        <w:pStyle w:val="NormalWeb"/>
        <w:spacing w:before="0" w:beforeAutospacing="0" w:after="0" w:afterAutospacing="0"/>
        <w:jc w:val="both"/>
        <w:rPr>
          <w:color w:val="0D0D0D"/>
        </w:rPr>
      </w:pPr>
      <w:r>
        <w:rPr>
          <w:rFonts w:ascii="Arial" w:hAnsi="Arial" w:cs="Arial"/>
          <w:color w:val="0D0D0D"/>
        </w:rPr>
        <w:t xml:space="preserve">5-) Sermaye </w:t>
      </w:r>
      <w:proofErr w:type="spellStart"/>
      <w:r>
        <w:rPr>
          <w:rFonts w:ascii="Arial" w:hAnsi="Arial" w:cs="Arial"/>
          <w:color w:val="0D0D0D"/>
        </w:rPr>
        <w:t>azaltımının</w:t>
      </w:r>
      <w:proofErr w:type="spellEnd"/>
      <w:r>
        <w:rPr>
          <w:rFonts w:ascii="Arial" w:hAnsi="Arial" w:cs="Arial"/>
          <w:color w:val="0D0D0D"/>
        </w:rPr>
        <w:t xml:space="preserve"> genel kurulda kabul edilmesinden sonra şirket alacaklılarına yedişer gün arayla üç defa çağrı yapıldığına dair sicil gazetesi örnekleri </w:t>
      </w:r>
      <w:hyperlink r:id="rId7" w:tgtFrame="_blank" w:history="1">
        <w:r w:rsidRPr="00055654">
          <w:rPr>
            <w:rStyle w:val="Kpr"/>
            <w:rFonts w:ascii="Arial" w:hAnsi="Arial" w:cs="Arial"/>
            <w:color w:val="FF0000"/>
          </w:rPr>
          <w:t>(EK-1)</w:t>
        </w:r>
      </w:hyperlink>
      <w:r>
        <w:rPr>
          <w:rFonts w:ascii="Arial" w:hAnsi="Arial" w:cs="Arial"/>
          <w:color w:val="0D0D0D"/>
        </w:rPr>
        <w:t> (Ticaret Sicili Yönetmeliği m. 96/1-d).</w:t>
      </w:r>
    </w:p>
    <w:p w:rsidR="009959FB" w:rsidRDefault="009959FB" w:rsidP="009959FB">
      <w:pPr>
        <w:pStyle w:val="NormalWeb"/>
        <w:spacing w:before="0" w:beforeAutospacing="0" w:after="0" w:afterAutospacing="0"/>
        <w:jc w:val="both"/>
        <w:rPr>
          <w:color w:val="0D0D0D"/>
        </w:rPr>
      </w:pPr>
      <w:r>
        <w:rPr>
          <w:rFonts w:ascii="Arial" w:hAnsi="Arial" w:cs="Arial"/>
          <w:color w:val="0D0D0D"/>
        </w:rPr>
        <w:t xml:space="preserve">6-) </w:t>
      </w:r>
      <w:r w:rsidRPr="00D1308C">
        <w:rPr>
          <w:rFonts w:ascii="Arial" w:hAnsi="Arial" w:cs="Arial"/>
          <w:color w:val="FF0000"/>
        </w:rPr>
        <w:t>Yeminli/Serbest Muhasebeci Mali Müşavir Raporu</w:t>
      </w:r>
      <w:r>
        <w:rPr>
          <w:rFonts w:ascii="Arial" w:hAnsi="Arial" w:cs="Arial"/>
          <w:color w:val="0D0D0D"/>
        </w:rPr>
        <w:t xml:space="preserve"> ve Mali Müşavir Faaliyet Belgesi.</w:t>
      </w:r>
    </w:p>
    <w:p w:rsidR="009959FB" w:rsidRDefault="009959FB" w:rsidP="009959FB">
      <w:pPr>
        <w:numPr>
          <w:ilvl w:val="0"/>
          <w:numId w:val="21"/>
        </w:numPr>
        <w:spacing w:after="0" w:line="240" w:lineRule="auto"/>
        <w:ind w:left="0"/>
        <w:jc w:val="both"/>
        <w:rPr>
          <w:color w:val="0D0D0D"/>
          <w:sz w:val="27"/>
          <w:szCs w:val="27"/>
        </w:rPr>
      </w:pPr>
      <w:r>
        <w:rPr>
          <w:rFonts w:ascii="Arial" w:hAnsi="Arial" w:cs="Arial"/>
          <w:color w:val="0D0D0D"/>
        </w:rPr>
        <w:t>Sermayenin azaltılmasına rağmen şirket alacaklılarının haklarını tamamen karşılayacak miktarda aktifin şirkette mevcut olduğunun belirlenmesine ilişkin YMM veya SMMM raporu ya da denetime tabi şirketlerde denetçinin bu tespitlere ilişkin raporu (Ticaret Sicili Yönetmeliği m. 96/1-c).</w:t>
      </w:r>
    </w:p>
    <w:p w:rsidR="009959FB" w:rsidRDefault="009959FB" w:rsidP="009959FB">
      <w:pPr>
        <w:pStyle w:val="NormalWeb"/>
        <w:spacing w:before="0" w:beforeAutospacing="0" w:after="0" w:afterAutospacing="0"/>
        <w:jc w:val="both"/>
        <w:rPr>
          <w:color w:val="0D0D0D"/>
        </w:rPr>
      </w:pPr>
      <w:r>
        <w:rPr>
          <w:rFonts w:ascii="Arial" w:hAnsi="Arial" w:cs="Arial"/>
          <w:color w:val="0D0D0D"/>
        </w:rPr>
        <w:t>7-) Alacakların ödendiği veya teminat altına alındığını gösteren belgeler (Ticaret Sicili Yönetmeliği m. 96/1-e).</w:t>
      </w:r>
    </w:p>
    <w:p w:rsidR="009959FB" w:rsidRDefault="009959FB" w:rsidP="009959FB">
      <w:pPr>
        <w:numPr>
          <w:ilvl w:val="0"/>
          <w:numId w:val="22"/>
        </w:numPr>
        <w:spacing w:after="0" w:line="240" w:lineRule="auto"/>
        <w:ind w:left="0"/>
        <w:jc w:val="both"/>
        <w:rPr>
          <w:color w:val="0D0D0D"/>
          <w:sz w:val="27"/>
          <w:szCs w:val="27"/>
        </w:rPr>
      </w:pPr>
      <w:r>
        <w:rPr>
          <w:rFonts w:ascii="Arial" w:hAnsi="Arial" w:cs="Arial"/>
          <w:color w:val="0D0D0D"/>
        </w:rPr>
        <w:t xml:space="preserve">Alacaklılara verilen 2 aylık sürenin sona ermesinden ve beyan edilen alacakların ödenmesinden veya teminat altına alınmasından sonra diğer ibraz edilmesi gereken belgeler ile </w:t>
      </w:r>
      <w:proofErr w:type="spellStart"/>
      <w:r>
        <w:rPr>
          <w:rFonts w:ascii="Arial" w:hAnsi="Arial" w:cs="Arial"/>
          <w:color w:val="0D0D0D"/>
        </w:rPr>
        <w:t>azaltımın</w:t>
      </w:r>
      <w:proofErr w:type="spellEnd"/>
      <w:r>
        <w:rPr>
          <w:rFonts w:ascii="Arial" w:hAnsi="Arial" w:cs="Arial"/>
          <w:color w:val="0D0D0D"/>
        </w:rPr>
        <w:t xml:space="preserve"> tescili talep edilebilir.</w:t>
      </w:r>
    </w:p>
    <w:p w:rsidR="009959FB" w:rsidRDefault="009959FB" w:rsidP="009959FB">
      <w:pPr>
        <w:pStyle w:val="NormalWeb"/>
        <w:spacing w:before="0" w:beforeAutospacing="0" w:after="0" w:afterAutospacing="0"/>
        <w:jc w:val="both"/>
        <w:rPr>
          <w:color w:val="0D0D0D"/>
        </w:rPr>
      </w:pPr>
      <w:r>
        <w:rPr>
          <w:rStyle w:val="Gl"/>
          <w:rFonts w:ascii="Arial" w:hAnsi="Arial" w:cs="Arial"/>
          <w:color w:val="0D0D0D"/>
          <w:u w:val="single"/>
        </w:rPr>
        <w:t>Sermaye zararlar sonucunda bilançoda oluşan bir açığı kapatmak amacıyla ve bu açıklar oranında azaltılacak olursa;</w:t>
      </w:r>
    </w:p>
    <w:p w:rsidR="009959FB" w:rsidRDefault="009959FB" w:rsidP="009959FB">
      <w:pPr>
        <w:numPr>
          <w:ilvl w:val="0"/>
          <w:numId w:val="23"/>
        </w:numPr>
        <w:spacing w:after="0" w:line="240" w:lineRule="auto"/>
        <w:ind w:left="0"/>
        <w:jc w:val="both"/>
        <w:rPr>
          <w:color w:val="0D0D0D"/>
          <w:sz w:val="27"/>
          <w:szCs w:val="27"/>
        </w:rPr>
      </w:pPr>
      <w:r>
        <w:rPr>
          <w:rFonts w:ascii="Arial" w:hAnsi="Arial" w:cs="Arial"/>
          <w:color w:val="0D0D0D"/>
        </w:rPr>
        <w:t>Şirket sözleşmesinde öngörülmüşse ek ödeme yükümlülüklerinin tamamen ödendiğini gösteren belge de ek olarak ibraz edilmelidir (TTK m. 592 - Ticaret Sicili Yönetmeliği m. 96/2-a).</w:t>
      </w:r>
    </w:p>
    <w:p w:rsidR="009959FB" w:rsidRDefault="009959FB" w:rsidP="009959FB">
      <w:pPr>
        <w:numPr>
          <w:ilvl w:val="0"/>
          <w:numId w:val="24"/>
        </w:numPr>
        <w:spacing w:after="0" w:line="240" w:lineRule="auto"/>
        <w:ind w:left="0"/>
        <w:jc w:val="both"/>
        <w:rPr>
          <w:color w:val="0D0D0D"/>
          <w:sz w:val="27"/>
          <w:szCs w:val="27"/>
        </w:rPr>
      </w:pPr>
      <w:r>
        <w:rPr>
          <w:rFonts w:ascii="Arial" w:hAnsi="Arial" w:cs="Arial"/>
          <w:color w:val="0D0D0D"/>
        </w:rPr>
        <w:t>Şirket müdürlerince alacaklıları çağırmaktan ve bunların haklarının ödenmesinden veya teminat altına alınmasından vazgeçilmiş ve buna ilişkin müdürler kurulu kararı Müdürlüğümüze ibraz edilmiş ise alacaklılara çağrı ilanı ve alacakların ödendiği veya teminat altına alındığını gösteren belge aranmaz (Ticaret Sicili Yönetmeliği m. 96/2-b). </w:t>
      </w:r>
    </w:p>
    <w:p w:rsidR="00747767" w:rsidRPr="009959FB" w:rsidRDefault="00747767" w:rsidP="009959FB">
      <w:bookmarkStart w:id="0" w:name="_GoBack"/>
      <w:bookmarkEnd w:id="0"/>
    </w:p>
    <w:sectPr w:rsidR="00747767" w:rsidRPr="00995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23FE"/>
    <w:multiLevelType w:val="multilevel"/>
    <w:tmpl w:val="EB82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A3E5F"/>
    <w:multiLevelType w:val="multilevel"/>
    <w:tmpl w:val="EE40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E15C0"/>
    <w:multiLevelType w:val="multilevel"/>
    <w:tmpl w:val="3450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BB454F"/>
    <w:multiLevelType w:val="multilevel"/>
    <w:tmpl w:val="4230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40268"/>
    <w:multiLevelType w:val="multilevel"/>
    <w:tmpl w:val="1486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FA58EC"/>
    <w:multiLevelType w:val="multilevel"/>
    <w:tmpl w:val="249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E3541"/>
    <w:multiLevelType w:val="multilevel"/>
    <w:tmpl w:val="6BEC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A776F"/>
    <w:multiLevelType w:val="multilevel"/>
    <w:tmpl w:val="6F1A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AC3369"/>
    <w:multiLevelType w:val="multilevel"/>
    <w:tmpl w:val="147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45033F"/>
    <w:multiLevelType w:val="multilevel"/>
    <w:tmpl w:val="6B0C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C861D8"/>
    <w:multiLevelType w:val="multilevel"/>
    <w:tmpl w:val="E340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8A1EA3"/>
    <w:multiLevelType w:val="multilevel"/>
    <w:tmpl w:val="08B2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3C328D"/>
    <w:multiLevelType w:val="multilevel"/>
    <w:tmpl w:val="130A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AC683F"/>
    <w:multiLevelType w:val="multilevel"/>
    <w:tmpl w:val="0750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67A21"/>
    <w:multiLevelType w:val="multilevel"/>
    <w:tmpl w:val="4066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2657B7"/>
    <w:multiLevelType w:val="multilevel"/>
    <w:tmpl w:val="9F3E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066F2"/>
    <w:multiLevelType w:val="multilevel"/>
    <w:tmpl w:val="45AE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C60EFA"/>
    <w:multiLevelType w:val="multilevel"/>
    <w:tmpl w:val="9A50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E24200"/>
    <w:multiLevelType w:val="multilevel"/>
    <w:tmpl w:val="83A8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FF1B81"/>
    <w:multiLevelType w:val="multilevel"/>
    <w:tmpl w:val="C3A0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F84874"/>
    <w:multiLevelType w:val="multilevel"/>
    <w:tmpl w:val="A6B4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CF74D8"/>
    <w:multiLevelType w:val="multilevel"/>
    <w:tmpl w:val="CB60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F357E9"/>
    <w:multiLevelType w:val="multilevel"/>
    <w:tmpl w:val="B5C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8645CD"/>
    <w:multiLevelType w:val="multilevel"/>
    <w:tmpl w:val="2824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8"/>
  </w:num>
  <w:num w:numId="4">
    <w:abstractNumId w:val="2"/>
  </w:num>
  <w:num w:numId="5">
    <w:abstractNumId w:val="17"/>
  </w:num>
  <w:num w:numId="6">
    <w:abstractNumId w:val="13"/>
  </w:num>
  <w:num w:numId="7">
    <w:abstractNumId w:val="19"/>
  </w:num>
  <w:num w:numId="8">
    <w:abstractNumId w:val="0"/>
  </w:num>
  <w:num w:numId="9">
    <w:abstractNumId w:val="7"/>
  </w:num>
  <w:num w:numId="10">
    <w:abstractNumId w:val="9"/>
  </w:num>
  <w:num w:numId="11">
    <w:abstractNumId w:val="5"/>
  </w:num>
  <w:num w:numId="12">
    <w:abstractNumId w:val="15"/>
  </w:num>
  <w:num w:numId="13">
    <w:abstractNumId w:val="12"/>
  </w:num>
  <w:num w:numId="14">
    <w:abstractNumId w:val="4"/>
  </w:num>
  <w:num w:numId="15">
    <w:abstractNumId w:val="1"/>
  </w:num>
  <w:num w:numId="16">
    <w:abstractNumId w:val="10"/>
  </w:num>
  <w:num w:numId="17">
    <w:abstractNumId w:val="23"/>
  </w:num>
  <w:num w:numId="18">
    <w:abstractNumId w:val="20"/>
  </w:num>
  <w:num w:numId="19">
    <w:abstractNumId w:val="3"/>
  </w:num>
  <w:num w:numId="20">
    <w:abstractNumId w:val="22"/>
  </w:num>
  <w:num w:numId="21">
    <w:abstractNumId w:val="14"/>
  </w:num>
  <w:num w:numId="22">
    <w:abstractNumId w:val="21"/>
  </w:num>
  <w:num w:numId="23">
    <w:abstractNumId w:val="6"/>
  </w:num>
  <w:num w:numId="2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B79"/>
    <w:rsid w:val="000026F7"/>
    <w:rsid w:val="0003527F"/>
    <w:rsid w:val="00055654"/>
    <w:rsid w:val="00065F6D"/>
    <w:rsid w:val="001419B0"/>
    <w:rsid w:val="00233D4F"/>
    <w:rsid w:val="002B4137"/>
    <w:rsid w:val="004462E8"/>
    <w:rsid w:val="004B5E42"/>
    <w:rsid w:val="005C748D"/>
    <w:rsid w:val="00642F3B"/>
    <w:rsid w:val="006B79B0"/>
    <w:rsid w:val="00747767"/>
    <w:rsid w:val="007F1D24"/>
    <w:rsid w:val="00856251"/>
    <w:rsid w:val="009832BC"/>
    <w:rsid w:val="009959FB"/>
    <w:rsid w:val="009A4225"/>
    <w:rsid w:val="009C5C6C"/>
    <w:rsid w:val="00AA561A"/>
    <w:rsid w:val="00AB4F3E"/>
    <w:rsid w:val="00AD5D21"/>
    <w:rsid w:val="00BB033C"/>
    <w:rsid w:val="00C74522"/>
    <w:rsid w:val="00D1308C"/>
    <w:rsid w:val="00D17B79"/>
    <w:rsid w:val="00D477C4"/>
    <w:rsid w:val="00E507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17B79"/>
    <w:rPr>
      <w:b/>
      <w:bCs/>
    </w:rPr>
  </w:style>
  <w:style w:type="paragraph" w:styleId="NormalWeb">
    <w:name w:val="Normal (Web)"/>
    <w:basedOn w:val="Normal"/>
    <w:uiPriority w:val="99"/>
    <w:semiHidden/>
    <w:unhideWhenUsed/>
    <w:rsid w:val="00065F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65F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17B79"/>
    <w:rPr>
      <w:b/>
      <w:bCs/>
    </w:rPr>
  </w:style>
  <w:style w:type="paragraph" w:styleId="NormalWeb">
    <w:name w:val="Normal (Web)"/>
    <w:basedOn w:val="Normal"/>
    <w:uiPriority w:val="99"/>
    <w:semiHidden/>
    <w:unhideWhenUsed/>
    <w:rsid w:val="00065F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65F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497">
      <w:bodyDiv w:val="1"/>
      <w:marLeft w:val="0"/>
      <w:marRight w:val="0"/>
      <w:marTop w:val="0"/>
      <w:marBottom w:val="0"/>
      <w:divBdr>
        <w:top w:val="none" w:sz="0" w:space="0" w:color="auto"/>
        <w:left w:val="none" w:sz="0" w:space="0" w:color="auto"/>
        <w:bottom w:val="none" w:sz="0" w:space="0" w:color="auto"/>
        <w:right w:val="none" w:sz="0" w:space="0" w:color="auto"/>
      </w:divBdr>
      <w:divsChild>
        <w:div w:id="1203132025">
          <w:marLeft w:val="0"/>
          <w:marRight w:val="0"/>
          <w:marTop w:val="0"/>
          <w:marBottom w:val="0"/>
          <w:divBdr>
            <w:top w:val="none" w:sz="0" w:space="0" w:color="auto"/>
            <w:left w:val="none" w:sz="0" w:space="0" w:color="auto"/>
            <w:bottom w:val="none" w:sz="0" w:space="0" w:color="auto"/>
            <w:right w:val="none" w:sz="0" w:space="0" w:color="auto"/>
          </w:divBdr>
        </w:div>
      </w:divsChild>
    </w:div>
    <w:div w:id="621307680">
      <w:bodyDiv w:val="1"/>
      <w:marLeft w:val="0"/>
      <w:marRight w:val="0"/>
      <w:marTop w:val="0"/>
      <w:marBottom w:val="0"/>
      <w:divBdr>
        <w:top w:val="none" w:sz="0" w:space="0" w:color="auto"/>
        <w:left w:val="none" w:sz="0" w:space="0" w:color="auto"/>
        <w:bottom w:val="none" w:sz="0" w:space="0" w:color="auto"/>
        <w:right w:val="none" w:sz="0" w:space="0" w:color="auto"/>
      </w:divBdr>
      <w:divsChild>
        <w:div w:id="36708619">
          <w:marLeft w:val="0"/>
          <w:marRight w:val="0"/>
          <w:marTop w:val="0"/>
          <w:marBottom w:val="0"/>
          <w:divBdr>
            <w:top w:val="none" w:sz="0" w:space="0" w:color="auto"/>
            <w:left w:val="none" w:sz="0" w:space="0" w:color="auto"/>
            <w:bottom w:val="none" w:sz="0" w:space="0" w:color="auto"/>
            <w:right w:val="none" w:sz="0" w:space="0" w:color="auto"/>
          </w:divBdr>
        </w:div>
      </w:divsChild>
    </w:div>
    <w:div w:id="628173177">
      <w:bodyDiv w:val="1"/>
      <w:marLeft w:val="0"/>
      <w:marRight w:val="0"/>
      <w:marTop w:val="0"/>
      <w:marBottom w:val="0"/>
      <w:divBdr>
        <w:top w:val="none" w:sz="0" w:space="0" w:color="auto"/>
        <w:left w:val="none" w:sz="0" w:space="0" w:color="auto"/>
        <w:bottom w:val="none" w:sz="0" w:space="0" w:color="auto"/>
        <w:right w:val="none" w:sz="0" w:space="0" w:color="auto"/>
      </w:divBdr>
    </w:div>
    <w:div w:id="692923573">
      <w:bodyDiv w:val="1"/>
      <w:marLeft w:val="0"/>
      <w:marRight w:val="0"/>
      <w:marTop w:val="0"/>
      <w:marBottom w:val="0"/>
      <w:divBdr>
        <w:top w:val="none" w:sz="0" w:space="0" w:color="auto"/>
        <w:left w:val="none" w:sz="0" w:space="0" w:color="auto"/>
        <w:bottom w:val="none" w:sz="0" w:space="0" w:color="auto"/>
        <w:right w:val="none" w:sz="0" w:space="0" w:color="auto"/>
      </w:divBdr>
    </w:div>
    <w:div w:id="1664699557">
      <w:bodyDiv w:val="1"/>
      <w:marLeft w:val="0"/>
      <w:marRight w:val="0"/>
      <w:marTop w:val="0"/>
      <w:marBottom w:val="0"/>
      <w:divBdr>
        <w:top w:val="none" w:sz="0" w:space="0" w:color="auto"/>
        <w:left w:val="none" w:sz="0" w:space="0" w:color="auto"/>
        <w:bottom w:val="none" w:sz="0" w:space="0" w:color="auto"/>
        <w:right w:val="none" w:sz="0" w:space="0" w:color="auto"/>
      </w:divBdr>
      <w:divsChild>
        <w:div w:id="1108425941">
          <w:marLeft w:val="0"/>
          <w:marRight w:val="0"/>
          <w:marTop w:val="0"/>
          <w:marBottom w:val="0"/>
          <w:divBdr>
            <w:top w:val="none" w:sz="0" w:space="0" w:color="auto"/>
            <w:left w:val="none" w:sz="0" w:space="0" w:color="auto"/>
            <w:bottom w:val="none" w:sz="0" w:space="0" w:color="auto"/>
            <w:right w:val="none" w:sz="0" w:space="0" w:color="auto"/>
          </w:divBdr>
        </w:div>
      </w:divsChild>
    </w:div>
    <w:div w:id="1963615118">
      <w:bodyDiv w:val="1"/>
      <w:marLeft w:val="0"/>
      <w:marRight w:val="0"/>
      <w:marTop w:val="0"/>
      <w:marBottom w:val="0"/>
      <w:divBdr>
        <w:top w:val="none" w:sz="0" w:space="0" w:color="auto"/>
        <w:left w:val="none" w:sz="0" w:space="0" w:color="auto"/>
        <w:bottom w:val="none" w:sz="0" w:space="0" w:color="auto"/>
        <w:right w:val="none" w:sz="0" w:space="0" w:color="auto"/>
      </w:divBdr>
      <w:divsChild>
        <w:div w:id="156047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to.org.tr/documents/Ticaret-Sicil/dilekceler-belgeler/6102_sermaye_azaltimi.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o.org.tr/documents/Ticaret-Sicil/dilekceler-belgeler/sirket_genel_dilekce.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504</Words>
  <Characters>2875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2023-03-16T12:45:00Z</dcterms:created>
  <dcterms:modified xsi:type="dcterms:W3CDTF">2023-03-16T12:45:00Z</dcterms:modified>
</cp:coreProperties>
</file>