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767" w:rsidRDefault="00747767" w:rsidP="00747767">
      <w:hyperlink r:id="rId6" w:history="1">
        <w:r>
          <w:rPr>
            <w:rStyle w:val="Kpr"/>
            <w:rFonts w:ascii="Arial" w:hAnsi="Arial" w:cs="Arial"/>
            <w:b/>
            <w:bCs/>
            <w:color w:val="015B65"/>
            <w:sz w:val="30"/>
            <w:szCs w:val="30"/>
            <w:shd w:val="clear" w:color="auto" w:fill="FFFFFF"/>
          </w:rPr>
          <w:t>Limited Şirket Esas Sermaye Artırımı İşlemi</w:t>
        </w:r>
      </w:hyperlink>
    </w:p>
    <w:p w:rsidR="00747767" w:rsidRDefault="00747767" w:rsidP="00747767">
      <w:pPr>
        <w:pStyle w:val="NormalWeb"/>
        <w:spacing w:before="0" w:beforeAutospacing="0" w:after="0" w:afterAutospacing="0"/>
        <w:jc w:val="both"/>
        <w:rPr>
          <w:color w:val="0D0D0D"/>
        </w:rPr>
      </w:pPr>
      <w:r>
        <w:rPr>
          <w:rFonts w:ascii="Arial" w:hAnsi="Arial" w:cs="Arial"/>
          <w:b/>
          <w:bCs/>
          <w:color w:val="FF0000"/>
          <w:shd w:val="clear" w:color="auto" w:fill="FFFFFF"/>
        </w:rPr>
        <w:t>MERSİS’ten başvuru yapılarak talep numarası alınmalı v</w:t>
      </w:r>
      <w:r w:rsidR="00AB4F3E">
        <w:rPr>
          <w:rFonts w:ascii="Arial" w:hAnsi="Arial" w:cs="Arial"/>
          <w:b/>
          <w:bCs/>
          <w:color w:val="FF0000"/>
          <w:shd w:val="clear" w:color="auto" w:fill="FFFFFF"/>
        </w:rPr>
        <w:t>e gerekli evraklar ile birlikte</w:t>
      </w:r>
      <w:r>
        <w:rPr>
          <w:rFonts w:ascii="Arial" w:hAnsi="Arial" w:cs="Arial"/>
          <w:b/>
          <w:bCs/>
          <w:color w:val="FF0000"/>
          <w:shd w:val="clear" w:color="auto" w:fill="FFFFFF"/>
        </w:rPr>
        <w:t> başvuru yapılmalıdır.</w:t>
      </w:r>
    </w:p>
    <w:p w:rsidR="00747767" w:rsidRDefault="00747767" w:rsidP="00747767">
      <w:pPr>
        <w:pStyle w:val="NormalWeb"/>
        <w:spacing w:before="0" w:beforeAutospacing="0" w:after="0" w:afterAutospacing="0"/>
        <w:jc w:val="both"/>
        <w:rPr>
          <w:color w:val="0D0D0D"/>
        </w:rPr>
      </w:pPr>
      <w:r>
        <w:rPr>
          <w:rFonts w:ascii="Arial" w:hAnsi="Arial" w:cs="Arial"/>
          <w:color w:val="0D0D0D"/>
        </w:rPr>
        <w:t>1-) </w:t>
      </w:r>
      <w:hyperlink r:id="rId7" w:tgtFrame="_blank" w:history="1">
        <w:r>
          <w:rPr>
            <w:rStyle w:val="Kpr"/>
            <w:rFonts w:ascii="Arial" w:hAnsi="Arial" w:cs="Arial"/>
            <w:color w:val="007BFF"/>
          </w:rPr>
          <w:t>Dilekçe</w:t>
        </w:r>
      </w:hyperlink>
    </w:p>
    <w:p w:rsidR="00747767" w:rsidRDefault="00747767" w:rsidP="005C748D">
      <w:pPr>
        <w:numPr>
          <w:ilvl w:val="0"/>
          <w:numId w:val="1"/>
        </w:numPr>
        <w:spacing w:after="0" w:line="240" w:lineRule="auto"/>
        <w:ind w:left="0"/>
        <w:jc w:val="both"/>
        <w:rPr>
          <w:color w:val="0D0D0D"/>
          <w:sz w:val="27"/>
          <w:szCs w:val="27"/>
        </w:rPr>
      </w:pPr>
      <w:r>
        <w:rPr>
          <w:rFonts w:ascii="Arial" w:hAnsi="Arial" w:cs="Arial"/>
          <w:color w:val="0D0D0D"/>
        </w:rPr>
        <w:t>Şirket kaşesi ile yetkili tarafından imzalanmalı, ekindeki evrak dökümünü içermelidir.</w:t>
      </w:r>
    </w:p>
    <w:p w:rsidR="00747767" w:rsidRDefault="00747767" w:rsidP="00747767">
      <w:pPr>
        <w:pStyle w:val="NormalWeb"/>
        <w:spacing w:before="0" w:beforeAutospacing="0" w:after="0" w:afterAutospacing="0"/>
        <w:jc w:val="both"/>
        <w:rPr>
          <w:color w:val="0D0D0D"/>
        </w:rPr>
      </w:pPr>
      <w:r>
        <w:rPr>
          <w:rFonts w:ascii="Arial" w:hAnsi="Arial" w:cs="Arial"/>
          <w:color w:val="0D0D0D"/>
        </w:rPr>
        <w:t>2-) </w:t>
      </w:r>
      <w:hyperlink r:id="rId8" w:tgtFrame="_blank" w:history="1">
        <w:r>
          <w:rPr>
            <w:rStyle w:val="Kpr"/>
            <w:rFonts w:ascii="Arial" w:hAnsi="Arial" w:cs="Arial"/>
            <w:color w:val="007BFF"/>
          </w:rPr>
          <w:t>Genel kurul kararı</w:t>
        </w:r>
      </w:hyperlink>
    </w:p>
    <w:p w:rsidR="00747767" w:rsidRDefault="00747767" w:rsidP="005C748D">
      <w:pPr>
        <w:numPr>
          <w:ilvl w:val="0"/>
          <w:numId w:val="2"/>
        </w:numPr>
        <w:spacing w:after="0" w:line="240" w:lineRule="auto"/>
        <w:ind w:left="0"/>
        <w:jc w:val="both"/>
        <w:rPr>
          <w:color w:val="0D0D0D"/>
          <w:sz w:val="27"/>
          <w:szCs w:val="27"/>
        </w:rPr>
      </w:pPr>
      <w:r>
        <w:rPr>
          <w:rFonts w:ascii="Arial" w:hAnsi="Arial" w:cs="Arial"/>
          <w:color w:val="0D0D0D"/>
        </w:rPr>
        <w:t>Genel kurul karar ve müzakere defterinden noter onaylı bir suret (Ticaret Sicili Yönetmeliği m. 94/1-a). </w:t>
      </w:r>
    </w:p>
    <w:p w:rsidR="00747767" w:rsidRDefault="00747767" w:rsidP="005C748D">
      <w:pPr>
        <w:numPr>
          <w:ilvl w:val="0"/>
          <w:numId w:val="3"/>
        </w:numPr>
        <w:spacing w:after="0" w:line="240" w:lineRule="auto"/>
        <w:ind w:left="0"/>
        <w:jc w:val="both"/>
        <w:rPr>
          <w:color w:val="0D0D0D"/>
          <w:sz w:val="27"/>
          <w:szCs w:val="27"/>
        </w:rPr>
      </w:pPr>
      <w:r>
        <w:rPr>
          <w:rFonts w:ascii="Arial" w:hAnsi="Arial" w:cs="Arial"/>
          <w:color w:val="0D0D0D"/>
        </w:rPr>
        <w:t>Ticaret Sicili Yönetmeliği’nin 93. maddesi gereğince, esas sermayenin artırılmasına ilişkin genel kurul kararının tescili için karar tarihinden itibaren 30 gün içinde Müdürlüğümüze başvurulması gerekmektedir.</w:t>
      </w:r>
    </w:p>
    <w:p w:rsidR="00747767" w:rsidRDefault="00747767" w:rsidP="005C748D">
      <w:pPr>
        <w:numPr>
          <w:ilvl w:val="0"/>
          <w:numId w:val="4"/>
        </w:numPr>
        <w:spacing w:after="0" w:line="240" w:lineRule="auto"/>
        <w:ind w:left="0"/>
        <w:jc w:val="both"/>
        <w:rPr>
          <w:color w:val="0D0D0D"/>
          <w:sz w:val="27"/>
          <w:szCs w:val="27"/>
        </w:rPr>
      </w:pPr>
      <w:r>
        <w:rPr>
          <w:rFonts w:ascii="Arial" w:hAnsi="Arial" w:cs="Arial"/>
          <w:color w:val="0D0D0D"/>
        </w:rPr>
        <w:t>Payların nakdi bedelleri tamamen ödenmediği sürece sermaye taahhüdü yoluyla (nakit) artırım yapılamaz (TTK m. 456/1).</w:t>
      </w:r>
    </w:p>
    <w:p w:rsidR="00747767" w:rsidRDefault="00747767" w:rsidP="005C748D">
      <w:pPr>
        <w:numPr>
          <w:ilvl w:val="0"/>
          <w:numId w:val="5"/>
        </w:numPr>
        <w:spacing w:after="0" w:line="240" w:lineRule="auto"/>
        <w:ind w:left="0"/>
        <w:jc w:val="both"/>
        <w:rPr>
          <w:color w:val="0D0D0D"/>
          <w:sz w:val="27"/>
          <w:szCs w:val="27"/>
        </w:rPr>
      </w:pPr>
      <w:r>
        <w:rPr>
          <w:rFonts w:ascii="Arial" w:hAnsi="Arial" w:cs="Arial"/>
          <w:color w:val="0D0D0D"/>
        </w:rPr>
        <w:t>Şirket sözleşmesinin sermaye maddesi düzenlenirken sermaye paylarının itibari değeri ile ortağa/ortaklara ait pay adedi de belirtilmelidir. Bir payın değerinin  25 TL veya katları olması gerekmektedir.</w:t>
      </w:r>
    </w:p>
    <w:p w:rsidR="00747767" w:rsidRDefault="00747767" w:rsidP="005C748D">
      <w:pPr>
        <w:numPr>
          <w:ilvl w:val="0"/>
          <w:numId w:val="6"/>
        </w:numPr>
        <w:spacing w:after="0" w:line="240" w:lineRule="auto"/>
        <w:ind w:left="0"/>
        <w:jc w:val="both"/>
        <w:rPr>
          <w:color w:val="0D0D0D"/>
          <w:sz w:val="27"/>
          <w:szCs w:val="27"/>
        </w:rPr>
      </w:pPr>
      <w:r>
        <w:rPr>
          <w:rFonts w:ascii="Arial" w:hAnsi="Arial" w:cs="Arial"/>
          <w:color w:val="0D0D0D"/>
        </w:rPr>
        <w:t>Tüm ortakların sermaye artırım kararına katılmaması durumunda; müdür/müdürler  kurulu, yeni pay alma hakkının kullanılabilmesinin esaslarını bir karar ile belirler ve bu kararda pay sahiplerine en az onbeş gün süre verir (TTK m. 591/3). Sermaye artırımının tescilinden önce, müdürün/müdürler  kurulunun yeni pay alma hakkının kullanılması esaslarının belirlenmesine ilişkin kararı ilan edilmelidir.</w:t>
      </w:r>
    </w:p>
    <w:p w:rsidR="00747767" w:rsidRDefault="00747767" w:rsidP="00747767">
      <w:pPr>
        <w:pStyle w:val="NormalWeb"/>
        <w:spacing w:before="0" w:beforeAutospacing="0" w:after="0" w:afterAutospacing="0"/>
        <w:jc w:val="both"/>
        <w:rPr>
          <w:color w:val="0D0D0D"/>
        </w:rPr>
      </w:pPr>
      <w:r>
        <w:rPr>
          <w:rFonts w:ascii="Arial" w:hAnsi="Arial" w:cs="Arial"/>
          <w:color w:val="0D0D0D"/>
        </w:rPr>
        <w:t xml:space="preserve">3-) Ayrıca düzenlenmiş ise </w:t>
      </w:r>
      <w:hyperlink r:id="rId9" w:history="1">
        <w:r w:rsidRPr="00AB4F3E">
          <w:rPr>
            <w:rStyle w:val="Kpr"/>
            <w:rFonts w:ascii="Arial" w:hAnsi="Arial" w:cs="Arial"/>
          </w:rPr>
          <w:t>hazirun cetveli.</w:t>
        </w:r>
      </w:hyperlink>
    </w:p>
    <w:p w:rsidR="00AB4F3E" w:rsidRDefault="00AB4F3E" w:rsidP="00747767">
      <w:pPr>
        <w:pStyle w:val="NormalWeb"/>
        <w:spacing w:before="0" w:beforeAutospacing="0" w:after="0" w:afterAutospacing="0"/>
        <w:jc w:val="both"/>
        <w:rPr>
          <w:rFonts w:ascii="Arial" w:hAnsi="Arial" w:cs="Arial"/>
          <w:color w:val="0D0D0D"/>
        </w:rPr>
      </w:pPr>
    </w:p>
    <w:p w:rsidR="00747767" w:rsidRDefault="00747767" w:rsidP="00747767">
      <w:pPr>
        <w:pStyle w:val="NormalWeb"/>
        <w:spacing w:before="0" w:beforeAutospacing="0" w:after="0" w:afterAutospacing="0"/>
        <w:jc w:val="both"/>
        <w:rPr>
          <w:color w:val="0D0D0D"/>
        </w:rPr>
      </w:pPr>
      <w:r>
        <w:rPr>
          <w:rFonts w:ascii="Arial" w:hAnsi="Arial" w:cs="Arial"/>
          <w:color w:val="0D0D0D"/>
        </w:rPr>
        <w:t>4-) Yeminli/Serbest Muhasebeci Mali Müşavir Raporu ve Mali Müşavir Faaliyet Belgesi.</w:t>
      </w:r>
    </w:p>
    <w:p w:rsidR="00747767" w:rsidRDefault="00747767" w:rsidP="005C748D">
      <w:pPr>
        <w:numPr>
          <w:ilvl w:val="0"/>
          <w:numId w:val="7"/>
        </w:numPr>
        <w:spacing w:after="0" w:line="240" w:lineRule="auto"/>
        <w:ind w:left="0"/>
        <w:jc w:val="both"/>
        <w:rPr>
          <w:color w:val="0D0D0D"/>
          <w:sz w:val="27"/>
          <w:szCs w:val="27"/>
        </w:rPr>
      </w:pPr>
      <w:r>
        <w:rPr>
          <w:rFonts w:ascii="Arial" w:hAnsi="Arial" w:cs="Arial"/>
          <w:color w:val="0D0D0D"/>
          <w:u w:val="single"/>
        </w:rPr>
        <w:t>Sermaye artırımı sadece iç kaynaklardan veya sermaye taahhüdü yoluyla ya da sermaye taahhüdü ile birlikte iç kaynaklardan yapılıyorsa</w:t>
      </w:r>
      <w:r>
        <w:rPr>
          <w:rFonts w:ascii="Arial" w:hAnsi="Arial" w:cs="Arial"/>
          <w:color w:val="0D0D0D"/>
        </w:rPr>
        <w:t xml:space="preserve">, sermayenin tamamının ödendiğine, karşılıksız kalıp kalmadığına ve şirket özvarlığının tespitine, (raporda; sermayenin son bilançoya göre özvarlığın içinde TTK m. 376’ya göre korunduğu ifadesi yer almalı, özvarlık tespiti rakam olarak yazılıp hesaplama tablosuna yer verilmeli, bilanço tarihi 6 aydan eski olmamalıdır.) iç kaynaklardan karşılanan tutarın şirket bünyesinde gerçekten var olduğuna ilişkin </w:t>
      </w:r>
      <w:r w:rsidRPr="00AD5D21">
        <w:rPr>
          <w:rFonts w:ascii="Arial" w:hAnsi="Arial" w:cs="Arial"/>
          <w:color w:val="FF0000"/>
        </w:rPr>
        <w:t>rapor</w:t>
      </w:r>
      <w:r>
        <w:rPr>
          <w:rFonts w:ascii="Arial" w:hAnsi="Arial" w:cs="Arial"/>
          <w:color w:val="0D0D0D"/>
        </w:rPr>
        <w:t xml:space="preserve"> (Ticaret Sicili Yönetmeliği m. 94/1-c).</w:t>
      </w:r>
    </w:p>
    <w:p w:rsidR="00747767" w:rsidRDefault="00747767" w:rsidP="005C748D">
      <w:pPr>
        <w:numPr>
          <w:ilvl w:val="0"/>
          <w:numId w:val="8"/>
        </w:numPr>
        <w:spacing w:after="0" w:line="240" w:lineRule="auto"/>
        <w:ind w:left="0"/>
        <w:jc w:val="both"/>
        <w:rPr>
          <w:color w:val="0D0D0D"/>
          <w:sz w:val="27"/>
          <w:szCs w:val="27"/>
        </w:rPr>
      </w:pPr>
      <w:r>
        <w:rPr>
          <w:rFonts w:ascii="Arial" w:hAnsi="Arial" w:cs="Arial"/>
          <w:color w:val="0D0D0D"/>
          <w:u w:val="single"/>
        </w:rPr>
        <w:t xml:space="preserve">Sermaye artırımı </w:t>
      </w:r>
      <w:r w:rsidRPr="00642F3B">
        <w:rPr>
          <w:rFonts w:ascii="Arial" w:hAnsi="Arial" w:cs="Arial"/>
          <w:color w:val="FF0000"/>
          <w:u w:val="single"/>
        </w:rPr>
        <w:t xml:space="preserve">ortak alacaklarından </w:t>
      </w:r>
      <w:r>
        <w:rPr>
          <w:rFonts w:ascii="Arial" w:hAnsi="Arial" w:cs="Arial"/>
          <w:color w:val="0D0D0D"/>
          <w:u w:val="single"/>
        </w:rPr>
        <w:t>karşılanıyorsa</w:t>
      </w:r>
      <w:r>
        <w:rPr>
          <w:rFonts w:ascii="Arial" w:hAnsi="Arial" w:cs="Arial"/>
          <w:color w:val="0D0D0D"/>
        </w:rPr>
        <w:t> mali müşavir raporunda, ortak alacakları hesabında yer alan tutarın NAKDİ BORÇLANMADAN kaynaklandığı açıkça belirtilmelidir. Ortak alacakları nakdi borçlanmadan kaynaklanmıyorsa bilirkişi tarafından hazırlanmış bilirkişi raporu ile mahkemenin bilirkişi atama yazısının aslı veya onaylı suretleri ibraz edilmelidir (Ticaret Sicili Yönetmeliği m. 94/1-d).</w:t>
      </w:r>
    </w:p>
    <w:p w:rsidR="00747767" w:rsidRDefault="00747767" w:rsidP="00747767">
      <w:pPr>
        <w:pStyle w:val="NormalWeb"/>
        <w:spacing w:before="0" w:beforeAutospacing="0" w:after="0" w:afterAutospacing="0"/>
        <w:jc w:val="both"/>
        <w:rPr>
          <w:color w:val="0D0D0D"/>
        </w:rPr>
      </w:pPr>
      <w:r>
        <w:rPr>
          <w:rFonts w:ascii="Arial" w:hAnsi="Arial" w:cs="Arial"/>
          <w:color w:val="0D0D0D"/>
        </w:rPr>
        <w:t>5-) Sermayenin on binde dördüne tekâbül eden Rekabet Kurumu payının Oda veznesine yatırılması gerekmektedir (Ticaret Sicili Yönetmeliği m. 94/1-g).</w:t>
      </w:r>
    </w:p>
    <w:p w:rsidR="00747767" w:rsidRDefault="00747767" w:rsidP="00747767">
      <w:pPr>
        <w:pStyle w:val="NormalWeb"/>
        <w:spacing w:before="0" w:beforeAutospacing="0" w:after="0" w:afterAutospacing="0"/>
        <w:jc w:val="both"/>
        <w:rPr>
          <w:color w:val="0D0D0D"/>
        </w:rPr>
      </w:pPr>
      <w:r>
        <w:rPr>
          <w:rFonts w:ascii="Arial" w:hAnsi="Arial" w:cs="Arial"/>
          <w:color w:val="0D0D0D"/>
        </w:rPr>
        <w:t>6-) Nakden taahhüt edilen şirket sermayesi, şirketin tescilini izleyen yirmidört ay içerisinde ödenebilir. Şirket sermayesinin tamamının yahut bir kısmının ödenmesi hâlinde ödemeye ilişkin banka mektubu ibraz edilmelidir (Ticaret Sicili Yönetmeliği m. 94/1-ç).</w:t>
      </w:r>
    </w:p>
    <w:p w:rsidR="00747767" w:rsidRDefault="00747767" w:rsidP="00747767">
      <w:pPr>
        <w:pStyle w:val="NormalWeb"/>
        <w:spacing w:before="0" w:beforeAutospacing="0" w:after="0" w:afterAutospacing="0"/>
        <w:jc w:val="both"/>
        <w:rPr>
          <w:color w:val="0D0D0D"/>
        </w:rPr>
      </w:pPr>
      <w:r>
        <w:rPr>
          <w:rFonts w:ascii="Arial" w:hAnsi="Arial" w:cs="Arial"/>
          <w:color w:val="0D0D0D"/>
        </w:rPr>
        <w:t>7-) </w:t>
      </w:r>
      <w:r>
        <w:rPr>
          <w:rFonts w:ascii="Arial" w:hAnsi="Arial" w:cs="Arial"/>
          <w:color w:val="0D0D0D"/>
          <w:u w:val="single"/>
        </w:rPr>
        <w:t>Sermaye artırımının ayni sermaye konularak yapılması durumunda;</w:t>
      </w:r>
    </w:p>
    <w:p w:rsidR="00747767" w:rsidRDefault="00747767" w:rsidP="005C748D">
      <w:pPr>
        <w:numPr>
          <w:ilvl w:val="0"/>
          <w:numId w:val="9"/>
        </w:numPr>
        <w:spacing w:after="0" w:line="240" w:lineRule="auto"/>
        <w:ind w:left="0"/>
        <w:jc w:val="both"/>
        <w:rPr>
          <w:color w:val="0D0D0D"/>
          <w:sz w:val="27"/>
          <w:szCs w:val="27"/>
        </w:rPr>
      </w:pPr>
      <w:r>
        <w:rPr>
          <w:rFonts w:ascii="Arial" w:hAnsi="Arial" w:cs="Arial"/>
          <w:color w:val="0D0D0D"/>
          <w:u w:val="single"/>
        </w:rPr>
        <w:t>Bilirkişi atama kararı.</w:t>
      </w:r>
    </w:p>
    <w:p w:rsidR="00747767" w:rsidRDefault="00747767" w:rsidP="005C748D">
      <w:pPr>
        <w:numPr>
          <w:ilvl w:val="0"/>
          <w:numId w:val="10"/>
        </w:numPr>
        <w:spacing w:after="0" w:line="240" w:lineRule="auto"/>
        <w:ind w:left="600"/>
        <w:jc w:val="both"/>
        <w:rPr>
          <w:color w:val="0D0D0D"/>
          <w:sz w:val="27"/>
          <w:szCs w:val="27"/>
        </w:rPr>
      </w:pPr>
      <w:r>
        <w:rPr>
          <w:rFonts w:ascii="Arial" w:hAnsi="Arial" w:cs="Arial"/>
          <w:color w:val="0D0D0D"/>
        </w:rPr>
        <w:t>Mahkemenin bilirkişi atama kararının aslı veya onaylı sureti (Ticaret Sicili Yönetmeliği m. 94/1-d).</w:t>
      </w:r>
    </w:p>
    <w:p w:rsidR="00747767" w:rsidRDefault="00747767" w:rsidP="005C748D">
      <w:pPr>
        <w:numPr>
          <w:ilvl w:val="0"/>
          <w:numId w:val="11"/>
        </w:numPr>
        <w:spacing w:after="0" w:line="240" w:lineRule="auto"/>
        <w:ind w:left="0"/>
        <w:jc w:val="both"/>
        <w:rPr>
          <w:color w:val="0D0D0D"/>
          <w:sz w:val="27"/>
          <w:szCs w:val="27"/>
        </w:rPr>
      </w:pPr>
      <w:r>
        <w:rPr>
          <w:rFonts w:ascii="Arial" w:hAnsi="Arial" w:cs="Arial"/>
          <w:color w:val="0D0D0D"/>
          <w:u w:val="single"/>
        </w:rPr>
        <w:t>Bilirkişi raporu.</w:t>
      </w:r>
    </w:p>
    <w:p w:rsidR="00747767" w:rsidRDefault="00747767" w:rsidP="005C748D">
      <w:pPr>
        <w:numPr>
          <w:ilvl w:val="0"/>
          <w:numId w:val="12"/>
        </w:numPr>
        <w:spacing w:after="0" w:line="240" w:lineRule="auto"/>
        <w:ind w:left="600"/>
        <w:jc w:val="both"/>
        <w:rPr>
          <w:color w:val="0D0D0D"/>
          <w:sz w:val="27"/>
          <w:szCs w:val="27"/>
        </w:rPr>
      </w:pPr>
      <w:r>
        <w:rPr>
          <w:rFonts w:ascii="Arial" w:hAnsi="Arial" w:cs="Arial"/>
          <w:color w:val="0D0D0D"/>
        </w:rPr>
        <w:t>Konulan ayni sermaye ile kuruluş sırasında devralınacak işletmeler ve ayni varlıkların değerinin tespitine ilişkin mahkemece atanan bilirkişiler tarafından hazırlanmış değerlemeye ilişkin bilirkişi raporunun aslı veya onaylı sureti (Ticaret Sicili Yönetmeliği m. 94/1-d).</w:t>
      </w:r>
    </w:p>
    <w:p w:rsidR="00747767" w:rsidRDefault="00747767" w:rsidP="005C748D">
      <w:pPr>
        <w:numPr>
          <w:ilvl w:val="0"/>
          <w:numId w:val="13"/>
        </w:numPr>
        <w:spacing w:after="0" w:line="240" w:lineRule="auto"/>
        <w:ind w:left="0"/>
        <w:jc w:val="both"/>
        <w:rPr>
          <w:color w:val="0D0D0D"/>
          <w:sz w:val="27"/>
          <w:szCs w:val="27"/>
        </w:rPr>
      </w:pPr>
      <w:r>
        <w:rPr>
          <w:rFonts w:ascii="Arial" w:hAnsi="Arial" w:cs="Arial"/>
          <w:color w:val="0D0D0D"/>
          <w:u w:val="single"/>
        </w:rPr>
        <w:lastRenderedPageBreak/>
        <w:t>Mahkeme kararı.</w:t>
      </w:r>
    </w:p>
    <w:p w:rsidR="00747767" w:rsidRDefault="00747767" w:rsidP="005C748D">
      <w:pPr>
        <w:numPr>
          <w:ilvl w:val="0"/>
          <w:numId w:val="14"/>
        </w:numPr>
        <w:spacing w:after="0" w:line="240" w:lineRule="auto"/>
        <w:ind w:left="600"/>
        <w:jc w:val="both"/>
        <w:rPr>
          <w:color w:val="0D0D0D"/>
          <w:sz w:val="27"/>
          <w:szCs w:val="27"/>
        </w:rPr>
      </w:pPr>
      <w:r>
        <w:rPr>
          <w:rFonts w:ascii="Arial" w:hAnsi="Arial" w:cs="Arial"/>
          <w:color w:val="0D0D0D"/>
        </w:rPr>
        <w:t>​Bilirkişi raporunun onaylanmasına ilişkin mahkeme kararının aslı veya onaylı sureti (TTK m. 581, 343).</w:t>
      </w:r>
    </w:p>
    <w:p w:rsidR="00747767" w:rsidRDefault="00747767" w:rsidP="005C748D">
      <w:pPr>
        <w:numPr>
          <w:ilvl w:val="0"/>
          <w:numId w:val="15"/>
        </w:numPr>
        <w:spacing w:after="0" w:line="240" w:lineRule="auto"/>
        <w:ind w:left="0"/>
        <w:jc w:val="both"/>
        <w:rPr>
          <w:color w:val="0D0D0D"/>
          <w:sz w:val="27"/>
          <w:szCs w:val="27"/>
        </w:rPr>
      </w:pPr>
      <w:r>
        <w:rPr>
          <w:rFonts w:ascii="Arial" w:hAnsi="Arial" w:cs="Arial"/>
          <w:color w:val="0D0D0D"/>
        </w:rPr>
        <w:t>Konulan ayni sermaye üzerinde herhangi bir sınırlamanın olmadığına dair ilgili sicilden alınacak yazının aslı (Ticaret Sicili Yönetmeliği m. 94/1-e).</w:t>
      </w:r>
    </w:p>
    <w:p w:rsidR="00747767" w:rsidRDefault="00747767" w:rsidP="005C748D">
      <w:pPr>
        <w:numPr>
          <w:ilvl w:val="0"/>
          <w:numId w:val="16"/>
        </w:numPr>
        <w:spacing w:after="0" w:line="240" w:lineRule="auto"/>
        <w:ind w:left="0"/>
        <w:jc w:val="both"/>
        <w:rPr>
          <w:color w:val="0D0D0D"/>
          <w:sz w:val="27"/>
          <w:szCs w:val="27"/>
        </w:rPr>
      </w:pPr>
      <w:r>
        <w:rPr>
          <w:rFonts w:ascii="Arial" w:hAnsi="Arial" w:cs="Arial"/>
          <w:color w:val="0D0D0D"/>
        </w:rPr>
        <w:t>Ayni sermaye olarak konulan taşınmazın, fikri mülkiyet haklarının ve diğer değerlerin kayıtlı bulundukları sicillere şerh</w:t>
      </w:r>
      <w:r>
        <w:rPr>
          <w:rFonts w:ascii="Arial" w:hAnsi="Arial" w:cs="Arial"/>
          <w:color w:val="FF0000"/>
        </w:rPr>
        <w:t>**</w:t>
      </w:r>
      <w:r>
        <w:rPr>
          <w:rFonts w:ascii="Arial" w:hAnsi="Arial" w:cs="Arial"/>
          <w:color w:val="0D0D0D"/>
        </w:rPr>
        <w:t> verildiğini gösteren belge (Ticaret Sic</w:t>
      </w:r>
      <w:bookmarkStart w:id="0" w:name="_GoBack"/>
      <w:bookmarkEnd w:id="0"/>
      <w:r>
        <w:rPr>
          <w:rFonts w:ascii="Arial" w:hAnsi="Arial" w:cs="Arial"/>
          <w:color w:val="0D0D0D"/>
        </w:rPr>
        <w:t>ili Yönetmeliği m. 94/1-f).</w:t>
      </w:r>
    </w:p>
    <w:p w:rsidR="00747767" w:rsidRDefault="00747767" w:rsidP="00747767">
      <w:pPr>
        <w:pStyle w:val="NormalWeb"/>
        <w:spacing w:before="0" w:beforeAutospacing="0" w:after="0" w:afterAutospacing="0"/>
        <w:jc w:val="both"/>
        <w:rPr>
          <w:rFonts w:ascii="Arial" w:hAnsi="Arial" w:cs="Arial"/>
          <w:color w:val="FF0000"/>
        </w:rPr>
      </w:pPr>
      <w:r>
        <w:rPr>
          <w:rFonts w:ascii="Arial" w:hAnsi="Arial" w:cs="Arial"/>
          <w:color w:val="FF0000"/>
        </w:rPr>
        <w:t>     ** (Ayni sermaye olarak konulacağına dair beyan.)</w:t>
      </w:r>
    </w:p>
    <w:p w:rsidR="00AB4F3E" w:rsidRDefault="00AB4F3E" w:rsidP="00747767">
      <w:pPr>
        <w:pStyle w:val="NormalWeb"/>
        <w:spacing w:before="0" w:beforeAutospacing="0" w:after="0" w:afterAutospacing="0"/>
        <w:jc w:val="both"/>
        <w:rPr>
          <w:rFonts w:ascii="Arial" w:hAnsi="Arial" w:cs="Arial"/>
          <w:color w:val="FF0000"/>
        </w:rPr>
      </w:pPr>
    </w:p>
    <w:p w:rsidR="00AB4F3E" w:rsidRDefault="00AB4F3E" w:rsidP="00747767">
      <w:pPr>
        <w:pStyle w:val="NormalWeb"/>
        <w:spacing w:before="0" w:beforeAutospacing="0" w:after="0" w:afterAutospacing="0"/>
        <w:jc w:val="both"/>
        <w:rPr>
          <w:color w:val="0D0D0D"/>
        </w:rPr>
      </w:pPr>
    </w:p>
    <w:p w:rsidR="00747767" w:rsidRDefault="00747767" w:rsidP="009A4225">
      <w:pPr>
        <w:pStyle w:val="NormalWeb"/>
        <w:spacing w:before="0" w:beforeAutospacing="0" w:after="0" w:afterAutospacing="0"/>
        <w:jc w:val="both"/>
        <w:rPr>
          <w:color w:val="0D0D0D"/>
        </w:rPr>
      </w:pPr>
    </w:p>
    <w:sectPr w:rsidR="007477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23FE"/>
    <w:multiLevelType w:val="multilevel"/>
    <w:tmpl w:val="EB82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A3E5F"/>
    <w:multiLevelType w:val="multilevel"/>
    <w:tmpl w:val="EE40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E15C0"/>
    <w:multiLevelType w:val="multilevel"/>
    <w:tmpl w:val="3450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440268"/>
    <w:multiLevelType w:val="multilevel"/>
    <w:tmpl w:val="1486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FA58EC"/>
    <w:multiLevelType w:val="multilevel"/>
    <w:tmpl w:val="2498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7A776F"/>
    <w:multiLevelType w:val="multilevel"/>
    <w:tmpl w:val="6F1A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AC3369"/>
    <w:multiLevelType w:val="multilevel"/>
    <w:tmpl w:val="147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5033F"/>
    <w:multiLevelType w:val="multilevel"/>
    <w:tmpl w:val="6B0C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C861D8"/>
    <w:multiLevelType w:val="multilevel"/>
    <w:tmpl w:val="E340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8A1EA3"/>
    <w:multiLevelType w:val="multilevel"/>
    <w:tmpl w:val="08B2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3C328D"/>
    <w:multiLevelType w:val="multilevel"/>
    <w:tmpl w:val="130A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AC683F"/>
    <w:multiLevelType w:val="multilevel"/>
    <w:tmpl w:val="0750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2657B7"/>
    <w:multiLevelType w:val="multilevel"/>
    <w:tmpl w:val="9F3E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5066F2"/>
    <w:multiLevelType w:val="multilevel"/>
    <w:tmpl w:val="45AE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C60EFA"/>
    <w:multiLevelType w:val="multilevel"/>
    <w:tmpl w:val="9A50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FF1B81"/>
    <w:multiLevelType w:val="multilevel"/>
    <w:tmpl w:val="C3A0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6"/>
  </w:num>
  <w:num w:numId="4">
    <w:abstractNumId w:val="2"/>
  </w:num>
  <w:num w:numId="5">
    <w:abstractNumId w:val="14"/>
  </w:num>
  <w:num w:numId="6">
    <w:abstractNumId w:val="11"/>
  </w:num>
  <w:num w:numId="7">
    <w:abstractNumId w:val="15"/>
  </w:num>
  <w:num w:numId="8">
    <w:abstractNumId w:val="0"/>
  </w:num>
  <w:num w:numId="9">
    <w:abstractNumId w:val="5"/>
  </w:num>
  <w:num w:numId="10">
    <w:abstractNumId w:val="7"/>
  </w:num>
  <w:num w:numId="11">
    <w:abstractNumId w:val="4"/>
  </w:num>
  <w:num w:numId="12">
    <w:abstractNumId w:val="12"/>
  </w:num>
  <w:num w:numId="13">
    <w:abstractNumId w:val="10"/>
  </w:num>
  <w:num w:numId="14">
    <w:abstractNumId w:val="3"/>
  </w:num>
  <w:num w:numId="15">
    <w:abstractNumId w:val="1"/>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B79"/>
    <w:rsid w:val="000026F7"/>
    <w:rsid w:val="0003527F"/>
    <w:rsid w:val="00065F6D"/>
    <w:rsid w:val="001419B0"/>
    <w:rsid w:val="00233D4F"/>
    <w:rsid w:val="002B4137"/>
    <w:rsid w:val="004462E8"/>
    <w:rsid w:val="004B5E42"/>
    <w:rsid w:val="005C748D"/>
    <w:rsid w:val="00642F3B"/>
    <w:rsid w:val="006B79B0"/>
    <w:rsid w:val="00747767"/>
    <w:rsid w:val="007F1D24"/>
    <w:rsid w:val="00856251"/>
    <w:rsid w:val="009832BC"/>
    <w:rsid w:val="009A4225"/>
    <w:rsid w:val="009C5C6C"/>
    <w:rsid w:val="00AA561A"/>
    <w:rsid w:val="00AB4F3E"/>
    <w:rsid w:val="00AD5D21"/>
    <w:rsid w:val="00BB033C"/>
    <w:rsid w:val="00C74522"/>
    <w:rsid w:val="00D17B79"/>
    <w:rsid w:val="00D477C4"/>
    <w:rsid w:val="00E507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17B79"/>
    <w:rPr>
      <w:b/>
      <w:bCs/>
    </w:rPr>
  </w:style>
  <w:style w:type="paragraph" w:styleId="NormalWeb">
    <w:name w:val="Normal (Web)"/>
    <w:basedOn w:val="Normal"/>
    <w:uiPriority w:val="99"/>
    <w:semiHidden/>
    <w:unhideWhenUsed/>
    <w:rsid w:val="00065F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65F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17B79"/>
    <w:rPr>
      <w:b/>
      <w:bCs/>
    </w:rPr>
  </w:style>
  <w:style w:type="paragraph" w:styleId="NormalWeb">
    <w:name w:val="Normal (Web)"/>
    <w:basedOn w:val="Normal"/>
    <w:uiPriority w:val="99"/>
    <w:semiHidden/>
    <w:unhideWhenUsed/>
    <w:rsid w:val="00065F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65F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497">
      <w:bodyDiv w:val="1"/>
      <w:marLeft w:val="0"/>
      <w:marRight w:val="0"/>
      <w:marTop w:val="0"/>
      <w:marBottom w:val="0"/>
      <w:divBdr>
        <w:top w:val="none" w:sz="0" w:space="0" w:color="auto"/>
        <w:left w:val="none" w:sz="0" w:space="0" w:color="auto"/>
        <w:bottom w:val="none" w:sz="0" w:space="0" w:color="auto"/>
        <w:right w:val="none" w:sz="0" w:space="0" w:color="auto"/>
      </w:divBdr>
      <w:divsChild>
        <w:div w:id="1203132025">
          <w:marLeft w:val="0"/>
          <w:marRight w:val="0"/>
          <w:marTop w:val="0"/>
          <w:marBottom w:val="0"/>
          <w:divBdr>
            <w:top w:val="none" w:sz="0" w:space="0" w:color="auto"/>
            <w:left w:val="none" w:sz="0" w:space="0" w:color="auto"/>
            <w:bottom w:val="none" w:sz="0" w:space="0" w:color="auto"/>
            <w:right w:val="none" w:sz="0" w:space="0" w:color="auto"/>
          </w:divBdr>
        </w:div>
      </w:divsChild>
    </w:div>
    <w:div w:id="621307680">
      <w:bodyDiv w:val="1"/>
      <w:marLeft w:val="0"/>
      <w:marRight w:val="0"/>
      <w:marTop w:val="0"/>
      <w:marBottom w:val="0"/>
      <w:divBdr>
        <w:top w:val="none" w:sz="0" w:space="0" w:color="auto"/>
        <w:left w:val="none" w:sz="0" w:space="0" w:color="auto"/>
        <w:bottom w:val="none" w:sz="0" w:space="0" w:color="auto"/>
        <w:right w:val="none" w:sz="0" w:space="0" w:color="auto"/>
      </w:divBdr>
      <w:divsChild>
        <w:div w:id="36708619">
          <w:marLeft w:val="0"/>
          <w:marRight w:val="0"/>
          <w:marTop w:val="0"/>
          <w:marBottom w:val="0"/>
          <w:divBdr>
            <w:top w:val="none" w:sz="0" w:space="0" w:color="auto"/>
            <w:left w:val="none" w:sz="0" w:space="0" w:color="auto"/>
            <w:bottom w:val="none" w:sz="0" w:space="0" w:color="auto"/>
            <w:right w:val="none" w:sz="0" w:space="0" w:color="auto"/>
          </w:divBdr>
        </w:div>
      </w:divsChild>
    </w:div>
    <w:div w:id="628173177">
      <w:bodyDiv w:val="1"/>
      <w:marLeft w:val="0"/>
      <w:marRight w:val="0"/>
      <w:marTop w:val="0"/>
      <w:marBottom w:val="0"/>
      <w:divBdr>
        <w:top w:val="none" w:sz="0" w:space="0" w:color="auto"/>
        <w:left w:val="none" w:sz="0" w:space="0" w:color="auto"/>
        <w:bottom w:val="none" w:sz="0" w:space="0" w:color="auto"/>
        <w:right w:val="none" w:sz="0" w:space="0" w:color="auto"/>
      </w:divBdr>
    </w:div>
    <w:div w:id="692923573">
      <w:bodyDiv w:val="1"/>
      <w:marLeft w:val="0"/>
      <w:marRight w:val="0"/>
      <w:marTop w:val="0"/>
      <w:marBottom w:val="0"/>
      <w:divBdr>
        <w:top w:val="none" w:sz="0" w:space="0" w:color="auto"/>
        <w:left w:val="none" w:sz="0" w:space="0" w:color="auto"/>
        <w:bottom w:val="none" w:sz="0" w:space="0" w:color="auto"/>
        <w:right w:val="none" w:sz="0" w:space="0" w:color="auto"/>
      </w:divBdr>
    </w:div>
    <w:div w:id="1664699557">
      <w:bodyDiv w:val="1"/>
      <w:marLeft w:val="0"/>
      <w:marRight w:val="0"/>
      <w:marTop w:val="0"/>
      <w:marBottom w:val="0"/>
      <w:divBdr>
        <w:top w:val="none" w:sz="0" w:space="0" w:color="auto"/>
        <w:left w:val="none" w:sz="0" w:space="0" w:color="auto"/>
        <w:bottom w:val="none" w:sz="0" w:space="0" w:color="auto"/>
        <w:right w:val="none" w:sz="0" w:space="0" w:color="auto"/>
      </w:divBdr>
      <w:divsChild>
        <w:div w:id="1108425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o.org.tr/documents/Ticaret-Sicil/dilekceler-belgeler/ltd_sermaye_arttirim.doc" TargetMode="External"/><Relationship Id="rId3" Type="http://schemas.microsoft.com/office/2007/relationships/stylesWithEffects" Target="stylesWithEffects.xml"/><Relationship Id="rId7" Type="http://schemas.openxmlformats.org/officeDocument/2006/relationships/hyperlink" Target="https://www.ito.org.tr/documents/Ticaret-Sicil/dilekceler-belgeler/sirket_genel_dilekce.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o.org.tr/tr/hizmetler/ticaret-sicili-islemleri/tescil-islemleri/limited-sirketle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dmin\Desktop\WEB%20S&#304;TES&#304;\Limited%20&#350;irketler\3%20Anas&#246;zle&#351;me%20de&#287;i&#351;iklik%20GK\hazirbulunanlarlistesi.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2023-03-16T11:55:00Z</dcterms:created>
  <dcterms:modified xsi:type="dcterms:W3CDTF">2023-03-16T11:55:00Z</dcterms:modified>
</cp:coreProperties>
</file>