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71" w:rsidRDefault="00850CCE" w:rsidP="00034471">
      <w:pPr>
        <w:spacing w:after="0" w:line="240" w:lineRule="auto"/>
        <w:rPr>
          <w:rFonts w:ascii="Arial" w:eastAsia="Times New Roman" w:hAnsi="Arial" w:cs="Arial"/>
          <w:b/>
          <w:bCs/>
          <w:color w:val="015B65"/>
          <w:sz w:val="30"/>
          <w:szCs w:val="30"/>
          <w:u w:val="single"/>
          <w:shd w:val="clear" w:color="auto" w:fill="FFFFFF"/>
          <w:lang w:eastAsia="tr-TR"/>
        </w:rPr>
      </w:pPr>
      <w:r>
        <w:fldChar w:fldCharType="begin"/>
      </w:r>
      <w:r>
        <w:instrText xml:space="preserve"> HYPERLINK "https://www.ito.org.tr/tr/hizmetler/ticaret-sicili-islemleri/tescil-islemleri/anonim-sirketler" </w:instrText>
      </w:r>
      <w:r>
        <w:fldChar w:fldCharType="separate"/>
      </w:r>
      <w:r w:rsidR="00034471" w:rsidRPr="00034471">
        <w:rPr>
          <w:rFonts w:ascii="Arial" w:eastAsia="Times New Roman" w:hAnsi="Arial" w:cs="Arial"/>
          <w:b/>
          <w:bCs/>
          <w:color w:val="015B65"/>
          <w:sz w:val="30"/>
          <w:szCs w:val="30"/>
          <w:u w:val="single"/>
          <w:shd w:val="clear" w:color="auto" w:fill="FFFFFF"/>
          <w:lang w:eastAsia="tr-TR"/>
        </w:rPr>
        <w:t>Anonim Şirket Esas Sermaye Artırımı İşlemi</w:t>
      </w:r>
      <w:r>
        <w:rPr>
          <w:rFonts w:ascii="Arial" w:eastAsia="Times New Roman" w:hAnsi="Arial" w:cs="Arial"/>
          <w:b/>
          <w:bCs/>
          <w:color w:val="015B65"/>
          <w:sz w:val="30"/>
          <w:szCs w:val="30"/>
          <w:u w:val="single"/>
          <w:shd w:val="clear" w:color="auto" w:fill="FFFFFF"/>
          <w:lang w:eastAsia="tr-TR"/>
        </w:rPr>
        <w:fldChar w:fldCharType="end"/>
      </w:r>
    </w:p>
    <w:p w:rsidR="00CE1E98" w:rsidRDefault="00CE1E98" w:rsidP="00850CCE">
      <w:pPr>
        <w:spacing w:after="0" w:line="240" w:lineRule="auto"/>
        <w:jc w:val="both"/>
        <w:rPr>
          <w:rStyle w:val="Gl"/>
          <w:rFonts w:ascii="Arial" w:hAnsi="Arial" w:cs="Arial"/>
          <w:color w:val="FF0000"/>
          <w:shd w:val="clear" w:color="auto" w:fill="FFFFFF"/>
        </w:rPr>
      </w:pPr>
    </w:p>
    <w:p w:rsidR="00850CCE" w:rsidRPr="00CE1E98" w:rsidRDefault="00850CCE" w:rsidP="00850CCE">
      <w:pPr>
        <w:spacing w:after="0" w:line="240" w:lineRule="auto"/>
        <w:jc w:val="both"/>
        <w:rPr>
          <w:rFonts w:ascii="Times New Roman" w:eastAsia="Times New Roman" w:hAnsi="Times New Roman" w:cs="Times New Roman"/>
          <w:color w:val="0D0D0D"/>
          <w:sz w:val="24"/>
          <w:szCs w:val="24"/>
          <w:lang w:eastAsia="tr-TR"/>
        </w:rPr>
      </w:pPr>
      <w:proofErr w:type="spellStart"/>
      <w:r w:rsidRPr="00CE1E98">
        <w:rPr>
          <w:rStyle w:val="Gl"/>
          <w:rFonts w:ascii="Arial" w:hAnsi="Arial" w:cs="Arial"/>
          <w:color w:val="FF0000"/>
          <w:sz w:val="24"/>
          <w:szCs w:val="24"/>
          <w:shd w:val="clear" w:color="auto" w:fill="FFFFFF"/>
        </w:rPr>
        <w:t>MERSİS’ten</w:t>
      </w:r>
      <w:proofErr w:type="spellEnd"/>
      <w:r w:rsidRPr="00CE1E98">
        <w:rPr>
          <w:rStyle w:val="Gl"/>
          <w:rFonts w:ascii="Arial" w:hAnsi="Arial" w:cs="Arial"/>
          <w:color w:val="FF0000"/>
          <w:sz w:val="24"/>
          <w:szCs w:val="24"/>
          <w:shd w:val="clear" w:color="auto" w:fill="FFFFFF"/>
        </w:rPr>
        <w:t xml:space="preserve"> başvuru yapılarak talep numarası alınmalı ve gerekli evraklar ile birlikte başvuru yapılmalıdır.</w:t>
      </w:r>
    </w:p>
    <w:p w:rsidR="00850CCE" w:rsidRPr="00034471" w:rsidRDefault="00850CCE" w:rsidP="00034471">
      <w:pPr>
        <w:spacing w:after="0" w:line="240" w:lineRule="auto"/>
        <w:rPr>
          <w:rFonts w:ascii="Times New Roman" w:eastAsia="Times New Roman" w:hAnsi="Times New Roman" w:cs="Times New Roman"/>
          <w:sz w:val="24"/>
          <w:szCs w:val="24"/>
          <w:lang w:eastAsia="tr-TR"/>
        </w:rPr>
      </w:pP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 xml:space="preserve">Yönetim kurulu yeni pay alma hakkının kullanılabilmesinin esaslarını bir karar ile belirler ve bu kararda pay sahiplerine en az </w:t>
      </w:r>
      <w:proofErr w:type="spellStart"/>
      <w:r w:rsidRPr="00034471">
        <w:rPr>
          <w:rFonts w:ascii="Arial" w:eastAsia="Times New Roman" w:hAnsi="Arial" w:cs="Arial"/>
          <w:color w:val="0D0D0D"/>
          <w:sz w:val="24"/>
          <w:szCs w:val="24"/>
          <w:lang w:eastAsia="tr-TR"/>
        </w:rPr>
        <w:t>onbeş</w:t>
      </w:r>
      <w:proofErr w:type="spellEnd"/>
      <w:r w:rsidRPr="00034471">
        <w:rPr>
          <w:rFonts w:ascii="Arial" w:eastAsia="Times New Roman" w:hAnsi="Arial" w:cs="Arial"/>
          <w:color w:val="0D0D0D"/>
          <w:sz w:val="24"/>
          <w:szCs w:val="24"/>
          <w:lang w:eastAsia="tr-TR"/>
        </w:rPr>
        <w:t xml:space="preserve"> gün süre verir (TTK m. 461/3). </w:t>
      </w:r>
      <w:r w:rsidRPr="00034471">
        <w:rPr>
          <w:rFonts w:ascii="Arial" w:eastAsia="Times New Roman" w:hAnsi="Arial" w:cs="Arial"/>
          <w:color w:val="0D0D0D"/>
          <w:sz w:val="24"/>
          <w:szCs w:val="24"/>
          <w:u w:val="single"/>
          <w:lang w:eastAsia="tr-TR"/>
        </w:rPr>
        <w:t>Sermaye artırımının tescilinden önce</w:t>
      </w:r>
      <w:r w:rsidRPr="00034471">
        <w:rPr>
          <w:rFonts w:ascii="Arial" w:eastAsia="Times New Roman" w:hAnsi="Arial" w:cs="Arial"/>
          <w:color w:val="0D0D0D"/>
          <w:sz w:val="24"/>
          <w:szCs w:val="24"/>
          <w:lang w:eastAsia="tr-TR"/>
        </w:rPr>
        <w:t>, yönetim  kurulunun yeni pay alma hakkının kullanılması esaslarının belirlenmesine ilişkin bu kararı </w:t>
      </w:r>
      <w:r w:rsidRPr="00034471">
        <w:rPr>
          <w:rFonts w:ascii="Arial" w:eastAsia="Times New Roman" w:hAnsi="Arial" w:cs="Arial"/>
          <w:color w:val="0D0D0D"/>
          <w:sz w:val="24"/>
          <w:szCs w:val="24"/>
          <w:u w:val="single"/>
          <w:lang w:eastAsia="tr-TR"/>
        </w:rPr>
        <w:t>tescil ve ilan</w:t>
      </w:r>
      <w:r w:rsidRPr="00034471">
        <w:rPr>
          <w:rFonts w:ascii="Arial" w:eastAsia="Times New Roman" w:hAnsi="Arial" w:cs="Arial"/>
          <w:color w:val="0D0D0D"/>
          <w:sz w:val="24"/>
          <w:szCs w:val="24"/>
          <w:lang w:eastAsia="tr-TR"/>
        </w:rPr>
        <w:t> edilmelidir (Ticaret Sicili Yönetmeliği m. 72/3 ve m. 74/1).</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Sermaye artırımının görüşüldüğü genel kurulda, kararın tüm ortakların katılımı ve oybirliği ile alınması hâlinde bu husus aranmaz.</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1-) </w:t>
      </w:r>
      <w:hyperlink r:id="rId6" w:tgtFrame="_blank" w:history="1">
        <w:r w:rsidRPr="00034471">
          <w:rPr>
            <w:rFonts w:ascii="Arial" w:eastAsia="Times New Roman" w:hAnsi="Arial" w:cs="Arial"/>
            <w:color w:val="007BFF"/>
            <w:sz w:val="24"/>
            <w:szCs w:val="24"/>
            <w:u w:val="single"/>
            <w:lang w:eastAsia="tr-TR"/>
          </w:rPr>
          <w:t>Dilekçe</w:t>
        </w:r>
      </w:hyperlink>
    </w:p>
    <w:p w:rsidR="00034471" w:rsidRPr="00034471" w:rsidRDefault="00034471" w:rsidP="00034471">
      <w:pPr>
        <w:numPr>
          <w:ilvl w:val="0"/>
          <w:numId w:val="1"/>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Şirket kaşesi ile yetkili tarafından imzalanmalı, ekindeki evrak dökümünü içermelidir.</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2-) Esas sermaye sisteminde sermaye artırımına ilişkin </w:t>
      </w:r>
      <w:r w:rsidRPr="00034471">
        <w:rPr>
          <w:rFonts w:ascii="Arial" w:eastAsia="Times New Roman" w:hAnsi="Arial" w:cs="Arial"/>
          <w:color w:val="0D0D0D"/>
          <w:sz w:val="24"/>
          <w:szCs w:val="24"/>
          <w:u w:val="single"/>
          <w:lang w:eastAsia="tr-TR"/>
        </w:rPr>
        <w:t>genel kurul karar ve müzakere defterinden noter onaylı </w:t>
      </w:r>
      <w:r w:rsidRPr="0041356B">
        <w:rPr>
          <w:rFonts w:ascii="Arial" w:eastAsia="Times New Roman" w:hAnsi="Arial" w:cs="Arial"/>
          <w:color w:val="548DD4" w:themeColor="text2" w:themeTint="99"/>
          <w:sz w:val="24"/>
          <w:szCs w:val="24"/>
          <w:u w:val="single"/>
          <w:lang w:eastAsia="tr-TR"/>
        </w:rPr>
        <w:t>genel kurul kararı</w:t>
      </w:r>
      <w:r w:rsidRPr="0041356B">
        <w:rPr>
          <w:rFonts w:ascii="Arial" w:eastAsia="Times New Roman" w:hAnsi="Arial" w:cs="Arial"/>
          <w:color w:val="548DD4" w:themeColor="text2" w:themeTint="99"/>
          <w:sz w:val="24"/>
          <w:szCs w:val="24"/>
          <w:lang w:eastAsia="tr-TR"/>
        </w:rPr>
        <w:t> </w:t>
      </w:r>
      <w:r w:rsidRPr="00034471">
        <w:rPr>
          <w:rFonts w:ascii="Arial" w:eastAsia="Times New Roman" w:hAnsi="Arial" w:cs="Arial"/>
          <w:color w:val="0D0D0D"/>
          <w:sz w:val="24"/>
          <w:szCs w:val="24"/>
          <w:lang w:eastAsia="tr-TR"/>
        </w:rPr>
        <w:t>(Ticaret Sicili Yönetmeliği m. 73/1-b).</w:t>
      </w:r>
    </w:p>
    <w:p w:rsidR="00034471" w:rsidRPr="00034471" w:rsidRDefault="00034471" w:rsidP="00034471">
      <w:pPr>
        <w:numPr>
          <w:ilvl w:val="0"/>
          <w:numId w:val="2"/>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Kayıtlı sermaye sisteminde ise yönetim kurulu karar defterinden yönetim kurulu kararının noter onaylı sureti.</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3-) Bakanlık temsilcisi bulundurma zorunluluğu olan toplantılarda Bakanlık temsilcisi atama yazısının aslı (Anonim Şirketlerin Genel Kurul Toplantılarının Usul ve Esasları İle Bu Toplantılarda Bulunacak Bakanlık Temsilcileri Hakkında Yönetmelik m. 32).</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4-) Esas sözleşme değişikliği Bakanlık veya diğer resmi kurumların iznine veya uygun görüşüne tabi olan şirketler için bu izin veya görüş yazısı (TTK m. 456/2 - Ticaret Sicili Yönetmeliği m. 73/1-a).</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 xml:space="preserve">5-) Artırılan sermayeyi oluşturan payların tamamının taahhüt edildiğini gösterir genel kurulda kabul edilen şekliyle </w:t>
      </w:r>
      <w:bookmarkStart w:id="0" w:name="_GoBack"/>
      <w:r w:rsidRPr="0041356B">
        <w:rPr>
          <w:rFonts w:ascii="Arial" w:eastAsia="Times New Roman" w:hAnsi="Arial" w:cs="Arial"/>
          <w:color w:val="548DD4" w:themeColor="text2" w:themeTint="99"/>
          <w:sz w:val="24"/>
          <w:szCs w:val="24"/>
          <w:u w:val="single"/>
          <w:lang w:eastAsia="tr-TR"/>
        </w:rPr>
        <w:t>tadil metni</w:t>
      </w:r>
      <w:r w:rsidRPr="0041356B">
        <w:rPr>
          <w:rFonts w:ascii="Arial" w:eastAsia="Times New Roman" w:hAnsi="Arial" w:cs="Arial"/>
          <w:color w:val="548DD4" w:themeColor="text2" w:themeTint="99"/>
          <w:sz w:val="24"/>
          <w:szCs w:val="24"/>
          <w:lang w:eastAsia="tr-TR"/>
        </w:rPr>
        <w:t xml:space="preserve"> </w:t>
      </w:r>
      <w:bookmarkEnd w:id="0"/>
      <w:r w:rsidRPr="00034471">
        <w:rPr>
          <w:rFonts w:ascii="Arial" w:eastAsia="Times New Roman" w:hAnsi="Arial" w:cs="Arial"/>
          <w:color w:val="0D0D0D"/>
          <w:sz w:val="24"/>
          <w:szCs w:val="24"/>
          <w:lang w:eastAsia="tr-TR"/>
        </w:rPr>
        <w:t>(Ticaret Sicili Yönetmeliği m. 73/1-c).</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6-) </w:t>
      </w:r>
      <w:proofErr w:type="spellStart"/>
      <w:r w:rsidR="00850CCE">
        <w:fldChar w:fldCharType="begin"/>
      </w:r>
      <w:r w:rsidR="00850CCE">
        <w:instrText xml:space="preserve"> HYPERLINK "https://www.ito.org.tr/documents/Ticaret-Sicil/dilekceler-belgeler/as_hazirun_cetveli.doc" \t "_blank" </w:instrText>
      </w:r>
      <w:r w:rsidR="00850CCE">
        <w:fldChar w:fldCharType="separate"/>
      </w:r>
      <w:r w:rsidRPr="00034471">
        <w:rPr>
          <w:rFonts w:ascii="Arial" w:eastAsia="Times New Roman" w:hAnsi="Arial" w:cs="Arial"/>
          <w:color w:val="007BFF"/>
          <w:sz w:val="24"/>
          <w:szCs w:val="24"/>
          <w:u w:val="single"/>
          <w:lang w:eastAsia="tr-TR"/>
        </w:rPr>
        <w:t>Hazirun</w:t>
      </w:r>
      <w:proofErr w:type="spellEnd"/>
      <w:r w:rsidRPr="00034471">
        <w:rPr>
          <w:rFonts w:ascii="Arial" w:eastAsia="Times New Roman" w:hAnsi="Arial" w:cs="Arial"/>
          <w:color w:val="007BFF"/>
          <w:sz w:val="24"/>
          <w:szCs w:val="24"/>
          <w:u w:val="single"/>
          <w:lang w:eastAsia="tr-TR"/>
        </w:rPr>
        <w:t xml:space="preserve"> cetvelinin aslı</w:t>
      </w:r>
      <w:r w:rsidR="00850CCE">
        <w:rPr>
          <w:rFonts w:ascii="Arial" w:eastAsia="Times New Roman" w:hAnsi="Arial" w:cs="Arial"/>
          <w:color w:val="007BFF"/>
          <w:sz w:val="24"/>
          <w:szCs w:val="24"/>
          <w:u w:val="single"/>
          <w:lang w:eastAsia="tr-TR"/>
        </w:rPr>
        <w:fldChar w:fldCharType="end"/>
      </w:r>
      <w:r w:rsidRPr="00034471">
        <w:rPr>
          <w:rFonts w:ascii="Arial" w:eastAsia="Times New Roman" w:hAnsi="Arial" w:cs="Arial"/>
          <w:color w:val="0D0D0D"/>
          <w:sz w:val="24"/>
          <w:szCs w:val="24"/>
          <w:lang w:eastAsia="tr-TR"/>
        </w:rPr>
        <w:t> (Anonim Şirketlerin Genel Kurul Toplantılarının Usul ve Esasları İle Bu Toplantılarda Bulunacak Bakanlık Temsilcileri Hakkında Yönetmelik m. 16/3, 29/1).</w:t>
      </w:r>
    </w:p>
    <w:p w:rsidR="00034471" w:rsidRPr="00034471" w:rsidRDefault="00034471" w:rsidP="00034471">
      <w:pPr>
        <w:numPr>
          <w:ilvl w:val="0"/>
          <w:numId w:val="3"/>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Esas sözleşme değişikliği işlemleri Bakanlık iznine tabi olan şirketler hariç olmak üzere tek pay sahipli şirketlerde, başkanlık oluşturulması ile genel kurul toplantısına katılabilecekler listesinin hazırlanması zorunlu değildir (Anonim Şirketlerin Genel Kurul Toplantılarının Usul ve Esasları İle Bu Toplantılarda Bulunacak Bakanlık Temsilcileri Hakkında Yönetmelik m. 14/2).</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7-) TTK m. 457 gereğince, sermaye artırımının türüne göre yönetim kurulunca düzenlenmiş </w:t>
      </w:r>
      <w:hyperlink r:id="rId7" w:tgtFrame="_blank" w:history="1">
        <w:r w:rsidRPr="00034471">
          <w:rPr>
            <w:rFonts w:ascii="Arial" w:eastAsia="Times New Roman" w:hAnsi="Arial" w:cs="Arial"/>
            <w:color w:val="007BFF"/>
            <w:sz w:val="24"/>
            <w:szCs w:val="24"/>
            <w:u w:val="single"/>
            <w:lang w:eastAsia="tr-TR"/>
          </w:rPr>
          <w:t>beyan</w:t>
        </w:r>
      </w:hyperlink>
      <w:r w:rsidRPr="00034471">
        <w:rPr>
          <w:rFonts w:ascii="Arial" w:eastAsia="Times New Roman" w:hAnsi="Arial" w:cs="Arial"/>
          <w:color w:val="0D0D0D"/>
          <w:sz w:val="24"/>
          <w:szCs w:val="24"/>
          <w:lang w:eastAsia="tr-TR"/>
        </w:rPr>
        <w:t> (Ticaret Sicili Yönetmeliği m. 73/1-ç)</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8-) </w:t>
      </w:r>
      <w:r w:rsidRPr="00034471">
        <w:rPr>
          <w:rFonts w:ascii="Arial" w:eastAsia="Times New Roman" w:hAnsi="Arial" w:cs="Arial"/>
          <w:b/>
          <w:bCs/>
          <w:color w:val="0D0D0D"/>
          <w:sz w:val="24"/>
          <w:szCs w:val="24"/>
          <w:lang w:eastAsia="tr-TR"/>
        </w:rPr>
        <w:t>Yeminli/Serbest Muhasebeci Mali Müşavir Raporu ve Mali Müşavir Faaliyet Belgesi.</w:t>
      </w:r>
    </w:p>
    <w:p w:rsidR="00034471" w:rsidRPr="00034471" w:rsidRDefault="00034471" w:rsidP="00034471">
      <w:pPr>
        <w:numPr>
          <w:ilvl w:val="0"/>
          <w:numId w:val="4"/>
        </w:numPr>
        <w:spacing w:after="0" w:line="240" w:lineRule="auto"/>
        <w:ind w:left="0"/>
        <w:jc w:val="both"/>
        <w:rPr>
          <w:rFonts w:ascii="Times New Roman" w:eastAsia="Times New Roman" w:hAnsi="Times New Roman" w:cs="Times New Roman"/>
          <w:color w:val="0D0D0D"/>
          <w:sz w:val="27"/>
          <w:szCs w:val="27"/>
          <w:lang w:eastAsia="tr-TR"/>
        </w:rPr>
      </w:pPr>
      <w:proofErr w:type="gramStart"/>
      <w:r w:rsidRPr="00034471">
        <w:rPr>
          <w:rFonts w:ascii="Arial" w:eastAsia="Times New Roman" w:hAnsi="Arial" w:cs="Arial"/>
          <w:color w:val="0D0D0D"/>
          <w:sz w:val="24"/>
          <w:szCs w:val="24"/>
          <w:u w:val="single"/>
          <w:lang w:eastAsia="tr-TR"/>
        </w:rPr>
        <w:t>Sermaye artırımı sadece iç kaynaklardan veya sermaye taahhüdü yoluyla ya da sermaye taahhüdü ile birlikte iç kaynaklardan yapılıyorsa</w:t>
      </w:r>
      <w:r w:rsidRPr="00034471">
        <w:rPr>
          <w:rFonts w:ascii="Arial" w:eastAsia="Times New Roman" w:hAnsi="Arial" w:cs="Arial"/>
          <w:color w:val="0D0D0D"/>
          <w:sz w:val="24"/>
          <w:szCs w:val="24"/>
          <w:lang w:eastAsia="tr-TR"/>
        </w:rPr>
        <w:t xml:space="preserve">, sermayenin tamamının ödendiğine, karşılıksız kalıp kalmadığına ve şirket özvarlığının tespitine (raporda sermayenin son bilançoya göre özvarlığın içinde TTK m. 376’ya göre korunduğu ifadesi yer almalı, raporda </w:t>
      </w: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 xml:space="preserve"> tespiti rakamsal olarak yazılıp hesaplama tablosuna yer verilmeli ve bilanço tarihi 6 aydan eski olmamalıdır.), iç kaynaklardan karşılanan tutarın şirket bünyesinde gerçekten var olduğuna ilişkin yeminli mali müşavir raporu veya serbest muhasebeci mali müşavir raporu ya da denetime tabi şirketlerde denetçinin bu tespitlere ilişkin raporu (Ticaret Sicili Yönetmeliği m. 73/1-d).</w:t>
      </w:r>
      <w:proofErr w:type="gramEnd"/>
    </w:p>
    <w:p w:rsidR="00034471" w:rsidRPr="00034471" w:rsidRDefault="00034471" w:rsidP="00034471">
      <w:pPr>
        <w:numPr>
          <w:ilvl w:val="0"/>
          <w:numId w:val="5"/>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u w:val="single"/>
          <w:lang w:eastAsia="tr-TR"/>
        </w:rPr>
        <w:t>Sermaye artırımı, ortak alacaklarından karşılanıyorsa</w:t>
      </w:r>
      <w:r w:rsidRPr="00034471">
        <w:rPr>
          <w:rFonts w:ascii="Arial" w:eastAsia="Times New Roman" w:hAnsi="Arial" w:cs="Arial"/>
          <w:color w:val="0D0D0D"/>
          <w:sz w:val="24"/>
          <w:szCs w:val="24"/>
          <w:lang w:eastAsia="tr-TR"/>
        </w:rPr>
        <w:t xml:space="preserve"> mali müşavir raporunda, ortak alacakları hesabında yer alan tutarın </w:t>
      </w:r>
      <w:r w:rsidRPr="0077036C">
        <w:rPr>
          <w:rFonts w:ascii="Arial" w:eastAsia="Times New Roman" w:hAnsi="Arial" w:cs="Arial"/>
          <w:color w:val="FF0000"/>
          <w:sz w:val="24"/>
          <w:szCs w:val="24"/>
          <w:u w:val="single"/>
          <w:lang w:eastAsia="tr-TR"/>
        </w:rPr>
        <w:t>NAKDİ BORÇLANMADAN</w:t>
      </w:r>
      <w:r w:rsidRPr="0077036C">
        <w:rPr>
          <w:rFonts w:ascii="Arial" w:eastAsia="Times New Roman" w:hAnsi="Arial" w:cs="Arial"/>
          <w:color w:val="FF0000"/>
          <w:sz w:val="24"/>
          <w:szCs w:val="24"/>
          <w:lang w:eastAsia="tr-TR"/>
        </w:rPr>
        <w:t xml:space="preserve"> </w:t>
      </w:r>
      <w:r w:rsidRPr="00034471">
        <w:rPr>
          <w:rFonts w:ascii="Arial" w:eastAsia="Times New Roman" w:hAnsi="Arial" w:cs="Arial"/>
          <w:color w:val="0D0D0D"/>
          <w:sz w:val="24"/>
          <w:szCs w:val="24"/>
          <w:lang w:eastAsia="tr-TR"/>
        </w:rPr>
        <w:lastRenderedPageBreak/>
        <w:t>kaynaklandığı açıkça belirtilmelidir. Ortak alacakları nakdi borçlanmadan kaynaklanmıyorsa mahkemece atanan bilirkişi tarafından hazırlanmış </w:t>
      </w:r>
      <w:r w:rsidRPr="00034471">
        <w:rPr>
          <w:rFonts w:ascii="Arial" w:eastAsia="Times New Roman" w:hAnsi="Arial" w:cs="Arial"/>
          <w:color w:val="0D0D0D"/>
          <w:sz w:val="24"/>
          <w:szCs w:val="24"/>
          <w:u w:val="single"/>
          <w:lang w:eastAsia="tr-TR"/>
        </w:rPr>
        <w:t>bilirkişi raporu ile mahkemenin bilirkişi atama yazısının aslı veya onaylı suretleri</w:t>
      </w:r>
      <w:r w:rsidRPr="00034471">
        <w:rPr>
          <w:rFonts w:ascii="Arial" w:eastAsia="Times New Roman" w:hAnsi="Arial" w:cs="Arial"/>
          <w:color w:val="0D0D0D"/>
          <w:sz w:val="24"/>
          <w:szCs w:val="24"/>
          <w:lang w:eastAsia="tr-TR"/>
        </w:rPr>
        <w:t> ibraz edilmelidir (Ticaret Sicili Yönetmeliği m. 73/1-e).</w:t>
      </w:r>
    </w:p>
    <w:p w:rsidR="00034471" w:rsidRPr="00034471" w:rsidRDefault="00034471" w:rsidP="00034471">
      <w:pPr>
        <w:numPr>
          <w:ilvl w:val="0"/>
          <w:numId w:val="6"/>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u w:val="single"/>
          <w:lang w:eastAsia="tr-TR"/>
        </w:rPr>
        <w:t>Sermaye artırımının sadece iç kaynaklardan yapılması durumunda</w:t>
      </w:r>
      <w:r w:rsidRPr="00034471">
        <w:rPr>
          <w:rFonts w:ascii="Arial" w:eastAsia="Times New Roman" w:hAnsi="Arial" w:cs="Arial"/>
          <w:color w:val="0D0D0D"/>
          <w:sz w:val="24"/>
          <w:szCs w:val="24"/>
          <w:lang w:eastAsia="tr-TR"/>
        </w:rPr>
        <w:t xml:space="preserve">; şirket sermayesinin, </w:t>
      </w: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 xml:space="preserve"> içinde korunduğunu ve iç kaynaklardan artırılan tutarın şirket bünyesinde gerçekten var olduğuna ilişkin yeminli mali müşavir veya serbest muhasebeci mali müşavir raporu ve mali müşavir faaliyet belgesi ya da denetime tabi şirketlerde denetçinin bu tespitlere ilişkin raporu.</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9-) </w:t>
      </w:r>
      <w:r w:rsidRPr="00034471">
        <w:rPr>
          <w:rFonts w:ascii="Arial" w:eastAsia="Times New Roman" w:hAnsi="Arial" w:cs="Arial"/>
          <w:color w:val="0D0D0D"/>
          <w:sz w:val="24"/>
          <w:szCs w:val="24"/>
          <w:u w:val="single"/>
          <w:lang w:eastAsia="tr-TR"/>
        </w:rPr>
        <w:t>Sermaye artırımının ayni sermaye konularak yapılması durumunda;</w:t>
      </w:r>
    </w:p>
    <w:p w:rsidR="00034471" w:rsidRPr="00034471" w:rsidRDefault="00034471" w:rsidP="00034471">
      <w:pPr>
        <w:numPr>
          <w:ilvl w:val="0"/>
          <w:numId w:val="7"/>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u w:val="single"/>
          <w:lang w:eastAsia="tr-TR"/>
        </w:rPr>
        <w:t>Bilirkişi atama kararı.</w:t>
      </w:r>
    </w:p>
    <w:p w:rsidR="00034471" w:rsidRPr="00034471" w:rsidRDefault="00034471" w:rsidP="00034471">
      <w:pPr>
        <w:numPr>
          <w:ilvl w:val="0"/>
          <w:numId w:val="8"/>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Mahkemenin bilirkişi atama kararının aslı veya onaylı sureti (Ticaret Sicili Yönetmeliği m. 73/1-e).</w:t>
      </w:r>
    </w:p>
    <w:p w:rsidR="00034471" w:rsidRPr="00034471" w:rsidRDefault="00034471" w:rsidP="00034471">
      <w:pPr>
        <w:numPr>
          <w:ilvl w:val="0"/>
          <w:numId w:val="9"/>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u w:val="single"/>
          <w:lang w:eastAsia="tr-TR"/>
        </w:rPr>
        <w:t>Bilirkişi raporu.</w:t>
      </w:r>
    </w:p>
    <w:p w:rsidR="00034471" w:rsidRPr="00034471" w:rsidRDefault="00034471" w:rsidP="00034471">
      <w:pPr>
        <w:numPr>
          <w:ilvl w:val="0"/>
          <w:numId w:val="10"/>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Konulan ayni sermaye ile kuruluş sırasında devralınacak işletmeler ve ayni varlıkların değerinin tespitine ilişkin mahkemece atanan bilirkişiler tarafından hazırlanmış değerlemeye ilişkin bilirkişi raporunun aslı veya onaylı sureti (Ticaret Sicili Yönetmeliği m. 73/1-e).</w:t>
      </w:r>
    </w:p>
    <w:p w:rsidR="00034471" w:rsidRPr="00034471" w:rsidRDefault="00034471" w:rsidP="00034471">
      <w:pPr>
        <w:numPr>
          <w:ilvl w:val="0"/>
          <w:numId w:val="11"/>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u w:val="single"/>
          <w:lang w:eastAsia="tr-TR"/>
        </w:rPr>
        <w:t>Mahkeme kararı.</w:t>
      </w:r>
    </w:p>
    <w:p w:rsidR="00034471" w:rsidRPr="00034471" w:rsidRDefault="00034471" w:rsidP="00034471">
      <w:pPr>
        <w:numPr>
          <w:ilvl w:val="0"/>
          <w:numId w:val="12"/>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​Bilirkişi raporunun onaylanmasına ilişkin mahkeme kararının aslı veya onaylı sureti (TTK m. 343).</w:t>
      </w:r>
    </w:p>
    <w:p w:rsidR="00034471" w:rsidRPr="00034471" w:rsidRDefault="00034471" w:rsidP="00034471">
      <w:pPr>
        <w:numPr>
          <w:ilvl w:val="0"/>
          <w:numId w:val="13"/>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Konulan ayni sermaye üzerinde herhangi bir sınırlamanın olmadığına dair ilgili sicilden alınacak yazının aslı (Ticaret Sicili Yönetmeliği m. 73/1-f).</w:t>
      </w:r>
    </w:p>
    <w:p w:rsidR="00034471" w:rsidRPr="00034471" w:rsidRDefault="00034471" w:rsidP="00034471">
      <w:pPr>
        <w:numPr>
          <w:ilvl w:val="0"/>
          <w:numId w:val="14"/>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Ayni sermaye olarak konulan taşınmazın, fikri mülkiyet haklarının ve diğer değerlerin kayıtlı bulundukları sicillere şerh</w:t>
      </w:r>
      <w:r w:rsidRPr="00034471">
        <w:rPr>
          <w:rFonts w:ascii="Arial" w:eastAsia="Times New Roman" w:hAnsi="Arial" w:cs="Arial"/>
          <w:color w:val="FF0000"/>
          <w:sz w:val="24"/>
          <w:szCs w:val="24"/>
          <w:lang w:eastAsia="tr-TR"/>
        </w:rPr>
        <w:t>**</w:t>
      </w:r>
      <w:r w:rsidRPr="00034471">
        <w:rPr>
          <w:rFonts w:ascii="Arial" w:eastAsia="Times New Roman" w:hAnsi="Arial" w:cs="Arial"/>
          <w:color w:val="0D0D0D"/>
          <w:sz w:val="24"/>
          <w:szCs w:val="24"/>
          <w:lang w:eastAsia="tr-TR"/>
        </w:rPr>
        <w:t> verildiğini gösteren belge (Ticaret Sicili Yönetmeliği m. 73/1-g).</w:t>
      </w:r>
    </w:p>
    <w:p w:rsidR="00034471" w:rsidRPr="00034471" w:rsidRDefault="00034471" w:rsidP="00034471">
      <w:pPr>
        <w:spacing w:after="0" w:line="240" w:lineRule="auto"/>
        <w:ind w:left="600"/>
        <w:jc w:val="both"/>
        <w:rPr>
          <w:rFonts w:ascii="Times New Roman" w:eastAsia="Times New Roman" w:hAnsi="Times New Roman" w:cs="Times New Roman"/>
          <w:color w:val="0D0D0D"/>
          <w:sz w:val="24"/>
          <w:szCs w:val="24"/>
          <w:lang w:eastAsia="tr-TR"/>
        </w:rPr>
      </w:pPr>
      <w:proofErr w:type="gramStart"/>
      <w:r w:rsidRPr="00034471">
        <w:rPr>
          <w:rFonts w:ascii="Arial" w:eastAsia="Times New Roman" w:hAnsi="Arial" w:cs="Arial"/>
          <w:color w:val="FF0000"/>
          <w:sz w:val="24"/>
          <w:szCs w:val="24"/>
          <w:lang w:eastAsia="tr-TR"/>
        </w:rPr>
        <w:t>**(Ayni sermaye olarak konulacağına dair beyan.)</w:t>
      </w:r>
      <w:proofErr w:type="gramEnd"/>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 xml:space="preserve">10-) Rüçhan haklarının sınırlandırılması veya kaldırılmasının gerekçelerini, yeni payların primli ve primsiz çıkarılmasının sebeplerini ve primin nasıl hesaplandığını gösterir </w:t>
      </w:r>
      <w:r w:rsidRPr="00EB3D71">
        <w:rPr>
          <w:rFonts w:ascii="Arial" w:eastAsia="Times New Roman" w:hAnsi="Arial" w:cs="Arial"/>
          <w:color w:val="FF0000"/>
          <w:sz w:val="24"/>
          <w:szCs w:val="24"/>
          <w:u w:val="single"/>
          <w:lang w:eastAsia="tr-TR"/>
        </w:rPr>
        <w:t>yönetim kurulu raporu</w:t>
      </w:r>
      <w:r w:rsidRPr="00034471">
        <w:rPr>
          <w:rFonts w:ascii="Arial" w:eastAsia="Times New Roman" w:hAnsi="Arial" w:cs="Arial"/>
          <w:color w:val="0D0D0D"/>
          <w:sz w:val="24"/>
          <w:szCs w:val="24"/>
          <w:lang w:eastAsia="tr-TR"/>
        </w:rPr>
        <w:t xml:space="preserve"> (</w:t>
      </w:r>
      <w:r w:rsidRPr="00034471">
        <w:rPr>
          <w:rFonts w:ascii="Arial" w:eastAsia="Times New Roman" w:hAnsi="Arial" w:cs="Arial"/>
          <w:color w:val="0D0D0D"/>
          <w:sz w:val="24"/>
          <w:szCs w:val="24"/>
          <w:u w:val="single"/>
          <w:lang w:eastAsia="tr-TR"/>
        </w:rPr>
        <w:t>1 suret</w:t>
      </w:r>
      <w:r w:rsidRPr="00034471">
        <w:rPr>
          <w:rFonts w:ascii="Arial" w:eastAsia="Times New Roman" w:hAnsi="Arial" w:cs="Arial"/>
          <w:color w:val="0D0D0D"/>
          <w:sz w:val="24"/>
          <w:szCs w:val="24"/>
          <w:lang w:eastAsia="tr-TR"/>
        </w:rPr>
        <w:t>) (Ticaret Sicili Yönetmeliği m. 73/1-ğ).</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 xml:space="preserve">11-) Sermayenin on binde dördüne </w:t>
      </w:r>
      <w:proofErr w:type="spellStart"/>
      <w:r w:rsidRPr="00034471">
        <w:rPr>
          <w:rFonts w:ascii="Arial" w:eastAsia="Times New Roman" w:hAnsi="Arial" w:cs="Arial"/>
          <w:color w:val="0D0D0D"/>
          <w:sz w:val="24"/>
          <w:szCs w:val="24"/>
          <w:lang w:eastAsia="tr-TR"/>
        </w:rPr>
        <w:t>tekâbül</w:t>
      </w:r>
      <w:proofErr w:type="spellEnd"/>
      <w:r w:rsidRPr="00034471">
        <w:rPr>
          <w:rFonts w:ascii="Arial" w:eastAsia="Times New Roman" w:hAnsi="Arial" w:cs="Arial"/>
          <w:color w:val="0D0D0D"/>
          <w:sz w:val="24"/>
          <w:szCs w:val="24"/>
          <w:lang w:eastAsia="tr-TR"/>
        </w:rPr>
        <w:t xml:space="preserve"> eden Rekabet Kurumu payının Oda veznesine yatırılması gerekmektedir (Ticaret Sicili Yönetmeliği m. 73/1-i). </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12-) Pay bedellerinin Kanunda veya esas sözleşmede belirtilen en az tutarının ödendiğine ilişkin açılan banka hesabına para yatıran şirket ortaklarının; adı - soyadı / unvanı ile her ortağın yatırdığı tutarların ve toplam yatırılan tutarın gösterileceği </w:t>
      </w:r>
      <w:r w:rsidRPr="00034471">
        <w:rPr>
          <w:rFonts w:ascii="Arial" w:eastAsia="Times New Roman" w:hAnsi="Arial" w:cs="Arial"/>
          <w:b/>
          <w:bCs/>
          <w:color w:val="0D0D0D"/>
          <w:sz w:val="24"/>
          <w:szCs w:val="24"/>
          <w:u w:val="single"/>
          <w:lang w:eastAsia="tr-TR"/>
        </w:rPr>
        <w:t>banka mektubu </w:t>
      </w:r>
      <w:r w:rsidRPr="00034471">
        <w:rPr>
          <w:rFonts w:ascii="Arial" w:eastAsia="Times New Roman" w:hAnsi="Arial" w:cs="Arial"/>
          <w:color w:val="0D0D0D"/>
          <w:sz w:val="24"/>
          <w:szCs w:val="24"/>
          <w:lang w:eastAsia="tr-TR"/>
        </w:rPr>
        <w:t>(Ticaret Sicili Yönetmeliği m. 73/1-h).</w:t>
      </w:r>
    </w:p>
    <w:p w:rsidR="00034471" w:rsidRPr="00D97624" w:rsidRDefault="00034471" w:rsidP="00034471">
      <w:pPr>
        <w:numPr>
          <w:ilvl w:val="0"/>
          <w:numId w:val="15"/>
        </w:numPr>
        <w:spacing w:after="0" w:line="240" w:lineRule="auto"/>
        <w:ind w:left="0"/>
        <w:jc w:val="both"/>
        <w:rPr>
          <w:rFonts w:ascii="Times New Roman" w:eastAsia="Times New Roman" w:hAnsi="Times New Roman" w:cs="Times New Roman"/>
          <w:sz w:val="27"/>
          <w:szCs w:val="27"/>
          <w:u w:val="single"/>
          <w:lang w:eastAsia="tr-TR"/>
        </w:rPr>
      </w:pPr>
      <w:r w:rsidRPr="00D97624">
        <w:rPr>
          <w:rFonts w:ascii="Arial" w:eastAsia="Times New Roman" w:hAnsi="Arial" w:cs="Arial"/>
          <w:sz w:val="24"/>
          <w:szCs w:val="24"/>
          <w:u w:val="single"/>
          <w:lang w:eastAsia="tr-TR"/>
        </w:rPr>
        <w:t>Şirket sermayesinin tamamının yahut bir kısmının nakden taahhüt edilmesi hâlinde,  nakden taahhüt edilen payların itibari değerinin en az  ¼’ünün tescilden önce, kalan kısmının ise şirketin tescilini izleyen yirmi dört ay içinde ödenmesi gerekmektedir.</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13-) Esas sözleşmenin sermaye maddesinin yeni şeklinde sermayeyi temsil eden paylar, tadil metninde yer almıyorsa TTK m. 459’a uygun olarak düzenlenmiş taahhüt sahibinin imzasını taşıyan </w:t>
      </w:r>
      <w:hyperlink r:id="rId8" w:tgtFrame="_blank" w:history="1">
        <w:r w:rsidRPr="00034471">
          <w:rPr>
            <w:rFonts w:ascii="Arial" w:eastAsia="Times New Roman" w:hAnsi="Arial" w:cs="Arial"/>
            <w:color w:val="007BFF"/>
            <w:sz w:val="24"/>
            <w:szCs w:val="24"/>
            <w:u w:val="single"/>
            <w:lang w:eastAsia="tr-TR"/>
          </w:rPr>
          <w:t>iştirak taahhütnameleri</w:t>
        </w:r>
      </w:hyperlink>
      <w:r w:rsidRPr="00034471">
        <w:rPr>
          <w:rFonts w:ascii="Arial" w:eastAsia="Times New Roman" w:hAnsi="Arial" w:cs="Arial"/>
          <w:color w:val="0D0D0D"/>
          <w:sz w:val="24"/>
          <w:szCs w:val="24"/>
          <w:lang w:eastAsia="tr-TR"/>
        </w:rPr>
        <w:t> (Ticaret Sicili Yönetmeliği m. 73/3).</w:t>
      </w:r>
    </w:p>
    <w:p w:rsidR="00034471" w:rsidRPr="00034471" w:rsidRDefault="00034471" w:rsidP="00034471">
      <w:pPr>
        <w:numPr>
          <w:ilvl w:val="0"/>
          <w:numId w:val="16"/>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Örnek iştirak taahhütnamesinin kullanılması hâlinde, nakit sermaye artırımına iştirak eden tüm ortaklar için doldurulmalı ve tüm ortaklar tarafından imzalanmalıdır.</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proofErr w:type="gramStart"/>
      <w:r w:rsidRPr="00034471">
        <w:rPr>
          <w:rFonts w:ascii="Arial" w:eastAsia="Times New Roman" w:hAnsi="Arial" w:cs="Arial"/>
          <w:color w:val="0D0D0D"/>
          <w:sz w:val="24"/>
          <w:szCs w:val="24"/>
          <w:lang w:eastAsia="tr-TR"/>
        </w:rPr>
        <w:t xml:space="preserve">14-) Genel kurulun şirket esas sözleşmesinin değiştirilmesine, yönetim kuruluna sermayenin artırılması konusunda yetki verilmesine dair kararı ile yönetim kurulunun sermayenin artırılmasına ilişkin kararı imtiyazlı pay sahiplerinin haklarını ihlal edici mahiyette ise, imtiyazlı pay sahipleri özel kurulunun alacağı kararın noter onaylı </w:t>
      </w:r>
      <w:r w:rsidRPr="00034471">
        <w:rPr>
          <w:rFonts w:ascii="Arial" w:eastAsia="Times New Roman" w:hAnsi="Arial" w:cs="Arial"/>
          <w:color w:val="0D0D0D"/>
          <w:sz w:val="24"/>
          <w:szCs w:val="24"/>
          <w:lang w:eastAsia="tr-TR"/>
        </w:rPr>
        <w:lastRenderedPageBreak/>
        <w:t>sureti ile genel kurul kararına olumsuz oy verenlerin, en az nisabı oluşturan sayıda imzalarını içeren liste ve ortak bir tebligat adresi (Ticaret Sicili Yönetmeliği m. 73/1-ı). </w:t>
      </w:r>
      <w:proofErr w:type="gramEnd"/>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 xml:space="preserve">15-) </w:t>
      </w:r>
      <w:r w:rsidRPr="00D97624">
        <w:rPr>
          <w:rFonts w:ascii="Arial" w:eastAsia="Times New Roman" w:hAnsi="Arial" w:cs="Arial"/>
          <w:color w:val="FF0000"/>
          <w:sz w:val="24"/>
          <w:szCs w:val="24"/>
          <w:u w:val="single"/>
          <w:lang w:eastAsia="tr-TR"/>
        </w:rPr>
        <w:t>İç kaynaklardan yapılan artırım hariç, payların nakdi bedelleri tamamen ödenmediği sürece sermaye taahhüdü yoluyla artırım yapılamaz (TTK m. 456/1).</w:t>
      </w:r>
      <w:r w:rsidRPr="00034471">
        <w:rPr>
          <w:rFonts w:ascii="Arial" w:eastAsia="Times New Roman" w:hAnsi="Arial" w:cs="Arial"/>
          <w:color w:val="0D0D0D"/>
          <w:sz w:val="24"/>
          <w:szCs w:val="24"/>
          <w:lang w:eastAsia="tr-TR"/>
        </w:rPr>
        <w:t> Artırım, genel kurul veya yönetim kurulu kararı tarihinden itibaren üç ay içinde tescil edilemediği takdirde, genel kurul veya yönetim kurulu kararı ve alınmışsa izin geçersiz hâle gelir (TTK m. 456/3). </w:t>
      </w:r>
    </w:p>
    <w:p w:rsidR="00034471" w:rsidRDefault="00034471" w:rsidP="00034471">
      <w:pPr>
        <w:spacing w:after="0" w:line="240" w:lineRule="auto"/>
        <w:jc w:val="both"/>
        <w:rPr>
          <w:rFonts w:ascii="Arial" w:eastAsia="Times New Roman" w:hAnsi="Arial" w:cs="Arial"/>
          <w:color w:val="0D0D0D"/>
          <w:sz w:val="24"/>
          <w:szCs w:val="24"/>
          <w:lang w:eastAsia="tr-TR"/>
        </w:rPr>
      </w:pPr>
      <w:r w:rsidRPr="00034471">
        <w:rPr>
          <w:rFonts w:ascii="Arial" w:eastAsia="Times New Roman" w:hAnsi="Arial" w:cs="Arial"/>
          <w:color w:val="0D0D0D"/>
          <w:sz w:val="24"/>
          <w:szCs w:val="24"/>
          <w:lang w:eastAsia="tr-TR"/>
        </w:rPr>
        <w:t>Bilançolarında sermayeye eklenmesine mevzuatın izin verdiği fonları bulunan ve halka açık olmayan veya halka açılmak üzere, Sermaye Piyasası Kurulu’na başvurmayan anon</w:t>
      </w:r>
      <w:r w:rsidR="00D97624">
        <w:rPr>
          <w:rFonts w:ascii="Arial" w:eastAsia="Times New Roman" w:hAnsi="Arial" w:cs="Arial"/>
          <w:color w:val="0D0D0D"/>
          <w:sz w:val="24"/>
          <w:szCs w:val="24"/>
          <w:lang w:eastAsia="tr-TR"/>
        </w:rPr>
        <w:t xml:space="preserve">im şirketlerde sermaye taahhüdü </w:t>
      </w:r>
      <w:r w:rsidRPr="00034471">
        <w:rPr>
          <w:rFonts w:ascii="Arial" w:eastAsia="Times New Roman" w:hAnsi="Arial" w:cs="Arial"/>
          <w:color w:val="0D0D0D"/>
          <w:sz w:val="24"/>
          <w:szCs w:val="24"/>
          <w:lang w:eastAsia="tr-TR"/>
        </w:rPr>
        <w:t>yoluyla sermayenin artırılabilmesi için; sermaye taahhüdü yoluyla yapılacak sermaye artırımı tutarı kadar fonların da eş zamanlı olarak sermayeye dönüştürülmesi gerekmektedir (TTK m. 462/3). Fonlar sermayeye dönüştürülmeden veya fonlar sermayeye dönüştürülürken eş zamanlı olarak fonların tutarından daha yüksek miktarda sermaye taahhüdü yoluyla sermayenin artırılabilmesi ise bu amaçla yapılacak genel kurul toplantısında bütün pay sahiplerinin temsil edilmeleri ve sermaye artırımına ilişkin kararın oybirliğiyle alınmış olması şartına bağlıdır.</w:t>
      </w:r>
    </w:p>
    <w:p w:rsidR="00D97624" w:rsidRPr="00034471" w:rsidRDefault="00D97624" w:rsidP="00034471">
      <w:pPr>
        <w:spacing w:after="0" w:line="240" w:lineRule="auto"/>
        <w:jc w:val="both"/>
        <w:rPr>
          <w:rFonts w:ascii="Times New Roman" w:eastAsia="Times New Roman" w:hAnsi="Times New Roman" w:cs="Times New Roman"/>
          <w:color w:val="0D0D0D"/>
          <w:sz w:val="24"/>
          <w:szCs w:val="24"/>
          <w:lang w:eastAsia="tr-TR"/>
        </w:rPr>
      </w:pP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b/>
          <w:bCs/>
          <w:color w:val="FF0000"/>
          <w:sz w:val="24"/>
          <w:szCs w:val="24"/>
          <w:u w:val="single"/>
          <w:lang w:eastAsia="tr-TR"/>
        </w:rPr>
        <w:t>UYARI: GENEL KURUL İÇ YÖNERGESİ</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Anonim şirket yönetim kurulu, genel kurulun çalışma esas ve usullerine ilişkin kuralları içeren, Bakanlık tarafından, asgari unsurları belirlenmiş olan bir iç yönerge hazırlar ve genel kurulun onayından sonra yürürlüğe koyar. Bu iç yönerge tescil ve ilan edilir (TTK m. 419/2).</w:t>
      </w:r>
    </w:p>
    <w:p w:rsidR="00034471" w:rsidRPr="00034471" w:rsidRDefault="00034471" w:rsidP="00034471">
      <w:pPr>
        <w:numPr>
          <w:ilvl w:val="0"/>
          <w:numId w:val="17"/>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i/>
          <w:iCs/>
          <w:color w:val="0D0D0D"/>
          <w:sz w:val="24"/>
          <w:szCs w:val="24"/>
          <w:lang w:eastAsia="tr-TR"/>
        </w:rPr>
        <w:t>"Anonim Şirketlerin Genel Kurul Toplantılarının Usul ve Esasları İle Bu Toplantılarda Bulunacak Bakanlık Temsilcileri Hakkında Yönetmelik"</w:t>
      </w:r>
      <w:r w:rsidRPr="00034471">
        <w:rPr>
          <w:rFonts w:ascii="Arial" w:eastAsia="Times New Roman" w:hAnsi="Arial" w:cs="Arial"/>
          <w:color w:val="0D0D0D"/>
          <w:sz w:val="24"/>
          <w:szCs w:val="24"/>
          <w:lang w:eastAsia="tr-TR"/>
        </w:rPr>
        <w:t> hükümlerine uygun olarak hazırlanacak genel kurul iç yönergesinin, ilk yapılacak  olağan / olağanüstü genel kurul toplantısında onaya sunulması zorunludur (m. 40/4). Genel kurul toplantı usul ve esasları hakkında düzenlenen iç yönerge yönetim kurulu üyesi ve toplantı başkanı tarafından imzalanmalı, iç yönerge metni bir nüsha olarak ibraz edilmelidir.</w:t>
      </w:r>
    </w:p>
    <w:p w:rsidR="00034471" w:rsidRPr="00034471" w:rsidRDefault="00034471" w:rsidP="00034471">
      <w:pPr>
        <w:numPr>
          <w:ilvl w:val="0"/>
          <w:numId w:val="18"/>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Özel kanunlara tabi şirketlerin, tabi oldukları özel mevzuat hükümlerini de dikkate alarak genel kurul iç yönergesini kabul edip, tescil ettirmesi gerekmektedir (m. 40/2).</w:t>
      </w:r>
    </w:p>
    <w:p w:rsidR="00034471" w:rsidRPr="00034471" w:rsidRDefault="00034471" w:rsidP="00034471">
      <w:pPr>
        <w:numPr>
          <w:ilvl w:val="0"/>
          <w:numId w:val="19"/>
        </w:numPr>
        <w:spacing w:after="0" w:line="240" w:lineRule="auto"/>
        <w:ind w:left="60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Tek pay sahipli anonim şirketlerce de bir genel kurul iç yönergesinin hazırlanıp, bu iç yönergenin şirket genel kurulunca onaylanarak, tescil ettirmesi gereklidir (m. 43/1).</w:t>
      </w:r>
    </w:p>
    <w:p w:rsidR="00034471" w:rsidRPr="00D97624" w:rsidRDefault="00034471" w:rsidP="00034471">
      <w:pPr>
        <w:numPr>
          <w:ilvl w:val="0"/>
          <w:numId w:val="20"/>
        </w:numPr>
        <w:spacing w:after="0" w:line="240" w:lineRule="auto"/>
        <w:ind w:left="0"/>
        <w:jc w:val="both"/>
        <w:rPr>
          <w:rFonts w:ascii="Times New Roman" w:eastAsia="Times New Roman" w:hAnsi="Times New Roman" w:cs="Times New Roman"/>
          <w:color w:val="0D0D0D"/>
          <w:sz w:val="27"/>
          <w:szCs w:val="27"/>
          <w:lang w:eastAsia="tr-TR"/>
        </w:rPr>
      </w:pPr>
      <w:r w:rsidRPr="00034471">
        <w:rPr>
          <w:rFonts w:ascii="Arial" w:eastAsia="Times New Roman" w:hAnsi="Arial" w:cs="Arial"/>
          <w:color w:val="0D0D0D"/>
          <w:sz w:val="24"/>
          <w:szCs w:val="24"/>
          <w:lang w:eastAsia="tr-TR"/>
        </w:rPr>
        <w:t>Şirketin dosyasında daha önce tescil edilmiş bir genel kurul iç yönergesinin bulunması durumunda gerek bulunmamaktadır.</w:t>
      </w:r>
    </w:p>
    <w:p w:rsidR="00D97624" w:rsidRPr="00034471" w:rsidRDefault="00D97624" w:rsidP="00D97624">
      <w:pPr>
        <w:spacing w:after="0" w:line="240" w:lineRule="auto"/>
        <w:jc w:val="both"/>
        <w:rPr>
          <w:rFonts w:ascii="Times New Roman" w:eastAsia="Times New Roman" w:hAnsi="Times New Roman" w:cs="Times New Roman"/>
          <w:color w:val="0D0D0D"/>
          <w:sz w:val="27"/>
          <w:szCs w:val="27"/>
          <w:lang w:eastAsia="tr-TR"/>
        </w:rPr>
      </w:pP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b/>
          <w:bCs/>
          <w:color w:val="FF0000"/>
          <w:sz w:val="24"/>
          <w:szCs w:val="24"/>
          <w:lang w:eastAsia="tr-TR"/>
        </w:rPr>
        <w:t>6102 SAYILI TÜRK TİCARET KANUNU’NUN 376. MADDESİNİN UYGULANMASINA İLİŞKİN USUL VE ESASLAR HAKKINDA TEBLİĞ’E GÖRE HAZIRLANMIŞ SERMAYE ARTIRIMINA İLİŞKİN HESAPLAMA ÖRNEKLERİ</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b/>
          <w:bCs/>
          <w:color w:val="FF0000"/>
          <w:sz w:val="24"/>
          <w:szCs w:val="24"/>
          <w:u w:val="single"/>
          <w:lang w:eastAsia="tr-TR"/>
        </w:rPr>
        <w:t>Örnek 1:  (Özvarlığın eksi olması durumunda)</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Sermaye:  60.000 TL</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w:t>
      </w:r>
      <w:r w:rsidRPr="00034471">
        <w:rPr>
          <w:rFonts w:ascii="Arial" w:eastAsia="Times New Roman" w:hAnsi="Arial" w:cs="Arial"/>
          <w:b/>
          <w:bCs/>
          <w:color w:val="0D0D0D"/>
          <w:sz w:val="24"/>
          <w:szCs w:val="24"/>
          <w:lang w:eastAsia="tr-TR"/>
        </w:rPr>
        <w:t>  -</w:t>
      </w:r>
      <w:r w:rsidRPr="00034471">
        <w:rPr>
          <w:rFonts w:ascii="Arial" w:eastAsia="Times New Roman" w:hAnsi="Arial" w:cs="Arial"/>
          <w:color w:val="0D0D0D"/>
          <w:sz w:val="24"/>
          <w:szCs w:val="24"/>
          <w:lang w:eastAsia="tr-TR"/>
        </w:rPr>
        <w:t>25.000 TL (eksi)</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 xml:space="preserve">Formül: ( Sermaye + </w:t>
      </w: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 x 2 = Son Sermaye</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(60.000 TL </w:t>
      </w:r>
      <w:r w:rsidRPr="00034471">
        <w:rPr>
          <w:rFonts w:ascii="Arial" w:eastAsia="Times New Roman" w:hAnsi="Arial" w:cs="Arial"/>
          <w:b/>
          <w:bCs/>
          <w:color w:val="0D0D0D"/>
          <w:sz w:val="24"/>
          <w:szCs w:val="24"/>
          <w:lang w:eastAsia="tr-TR"/>
        </w:rPr>
        <w:t>+</w:t>
      </w:r>
      <w:r w:rsidRPr="00034471">
        <w:rPr>
          <w:rFonts w:ascii="Arial" w:eastAsia="Times New Roman" w:hAnsi="Arial" w:cs="Arial"/>
          <w:color w:val="0D0D0D"/>
          <w:sz w:val="24"/>
          <w:szCs w:val="24"/>
          <w:lang w:eastAsia="tr-TR"/>
        </w:rPr>
        <w:t> 25.000 TL) x 2 = 170.000 TL Sermayenin en az 170.000 TL’ye çıkarılması gerekli olup, artan 110.000 TL’nin tamamı ödenmelidir. Bu durumda 110.000 TL’nin ödemesi ile birlikte Tebliğ’de bahsedilen şekilde son sermaye, 170.000 TL’nin yarısı olan 85.000 TL ve kayıp olan 25.000 TL karşılanmış olur.</w:t>
      </w:r>
    </w:p>
    <w:p w:rsidR="00D97624" w:rsidRDefault="00D97624" w:rsidP="00034471">
      <w:pPr>
        <w:spacing w:after="0" w:line="240" w:lineRule="auto"/>
        <w:jc w:val="both"/>
        <w:rPr>
          <w:rFonts w:ascii="Arial" w:eastAsia="Times New Roman" w:hAnsi="Arial" w:cs="Arial"/>
          <w:b/>
          <w:bCs/>
          <w:color w:val="FF0000"/>
          <w:sz w:val="24"/>
          <w:szCs w:val="24"/>
          <w:u w:val="single"/>
          <w:lang w:eastAsia="tr-TR"/>
        </w:rPr>
      </w:pP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b/>
          <w:bCs/>
          <w:color w:val="FF0000"/>
          <w:sz w:val="24"/>
          <w:szCs w:val="24"/>
          <w:u w:val="single"/>
          <w:lang w:eastAsia="tr-TR"/>
        </w:rPr>
        <w:lastRenderedPageBreak/>
        <w:t>Örnek 2: (Özvarlığın artı olup, TTK m. 376 kapsamında olması durumunda)</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Sermaye: 70.000 TL</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  8.000 TL (artı)</w:t>
      </w: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color w:val="0D0D0D"/>
          <w:sz w:val="24"/>
          <w:szCs w:val="24"/>
          <w:lang w:eastAsia="tr-TR"/>
        </w:rPr>
        <w:t>Formül: (Mevcut sermayenin yarısı </w:t>
      </w:r>
      <w:r w:rsidRPr="00034471">
        <w:rPr>
          <w:rFonts w:ascii="Arial" w:eastAsia="Times New Roman" w:hAnsi="Arial" w:cs="Arial"/>
          <w:b/>
          <w:bCs/>
          <w:color w:val="0D0D0D"/>
          <w:sz w:val="24"/>
          <w:szCs w:val="24"/>
          <w:lang w:eastAsia="tr-TR"/>
        </w:rPr>
        <w:t>-</w:t>
      </w:r>
      <w:r w:rsidRPr="00034471">
        <w:rPr>
          <w:rFonts w:ascii="Arial" w:eastAsia="Times New Roman" w:hAnsi="Arial" w:cs="Arial"/>
          <w:color w:val="0D0D0D"/>
          <w:sz w:val="24"/>
          <w:szCs w:val="24"/>
          <w:lang w:eastAsia="tr-TR"/>
        </w:rPr>
        <w:t> </w:t>
      </w: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 x 2 = Artacak Sermaye Miktarı</w:t>
      </w:r>
    </w:p>
    <w:p w:rsidR="00034471" w:rsidRDefault="00034471" w:rsidP="00034471">
      <w:pPr>
        <w:spacing w:after="0" w:line="240" w:lineRule="auto"/>
        <w:jc w:val="both"/>
        <w:rPr>
          <w:rFonts w:ascii="Arial" w:eastAsia="Times New Roman" w:hAnsi="Arial" w:cs="Arial"/>
          <w:color w:val="0D0D0D"/>
          <w:sz w:val="24"/>
          <w:szCs w:val="24"/>
          <w:lang w:eastAsia="tr-TR"/>
        </w:rPr>
      </w:pPr>
      <w:r w:rsidRPr="00034471">
        <w:rPr>
          <w:rFonts w:ascii="Arial" w:eastAsia="Times New Roman" w:hAnsi="Arial" w:cs="Arial"/>
          <w:color w:val="0D0D0D"/>
          <w:sz w:val="24"/>
          <w:szCs w:val="24"/>
          <w:lang w:eastAsia="tr-TR"/>
        </w:rPr>
        <w:t>(35.000 TL </w:t>
      </w:r>
      <w:r w:rsidRPr="00034471">
        <w:rPr>
          <w:rFonts w:ascii="Arial" w:eastAsia="Times New Roman" w:hAnsi="Arial" w:cs="Arial"/>
          <w:b/>
          <w:bCs/>
          <w:color w:val="0D0D0D"/>
          <w:sz w:val="24"/>
          <w:szCs w:val="24"/>
          <w:lang w:eastAsia="tr-TR"/>
        </w:rPr>
        <w:t>-</w:t>
      </w:r>
      <w:r w:rsidRPr="00034471">
        <w:rPr>
          <w:rFonts w:ascii="Arial" w:eastAsia="Times New Roman" w:hAnsi="Arial" w:cs="Arial"/>
          <w:color w:val="0D0D0D"/>
          <w:sz w:val="24"/>
          <w:szCs w:val="24"/>
          <w:lang w:eastAsia="tr-TR"/>
        </w:rPr>
        <w:t xml:space="preserve"> 8.000 TL) x 2 = 54.000 TL Sermayenin en az 70.000 TL + 54.000 TL = 124.000 TL’ye çıkarılması gerekli olup, artan 54.000 TL’nin tamamı ödenmelidir. Bu durumda ödenen 54.000 TL’ye mevcut </w:t>
      </w:r>
      <w:proofErr w:type="spellStart"/>
      <w:r w:rsidRPr="00034471">
        <w:rPr>
          <w:rFonts w:ascii="Arial" w:eastAsia="Times New Roman" w:hAnsi="Arial" w:cs="Arial"/>
          <w:color w:val="0D0D0D"/>
          <w:sz w:val="24"/>
          <w:szCs w:val="24"/>
          <w:lang w:eastAsia="tr-TR"/>
        </w:rPr>
        <w:t>özvarlık</w:t>
      </w:r>
      <w:proofErr w:type="spellEnd"/>
      <w:r w:rsidRPr="00034471">
        <w:rPr>
          <w:rFonts w:ascii="Arial" w:eastAsia="Times New Roman" w:hAnsi="Arial" w:cs="Arial"/>
          <w:color w:val="0D0D0D"/>
          <w:sz w:val="24"/>
          <w:szCs w:val="24"/>
          <w:lang w:eastAsia="tr-TR"/>
        </w:rPr>
        <w:t xml:space="preserve"> olan 8.000 TL eklendiğinde toplam 62.000 TL ile Tebliğ’de bahsedilen şekilde son sermayenin yarısı karşılanmış olur.</w:t>
      </w:r>
    </w:p>
    <w:p w:rsidR="00D97624" w:rsidRPr="00034471" w:rsidRDefault="00D97624" w:rsidP="00034471">
      <w:pPr>
        <w:spacing w:after="0" w:line="240" w:lineRule="auto"/>
        <w:jc w:val="both"/>
        <w:rPr>
          <w:rFonts w:ascii="Times New Roman" w:eastAsia="Times New Roman" w:hAnsi="Times New Roman" w:cs="Times New Roman"/>
          <w:color w:val="0D0D0D"/>
          <w:sz w:val="24"/>
          <w:szCs w:val="24"/>
          <w:lang w:eastAsia="tr-TR"/>
        </w:rPr>
      </w:pPr>
    </w:p>
    <w:p w:rsidR="00034471" w:rsidRPr="00034471" w:rsidRDefault="00034471" w:rsidP="00034471">
      <w:pPr>
        <w:spacing w:after="0" w:line="240" w:lineRule="auto"/>
        <w:jc w:val="both"/>
        <w:rPr>
          <w:rFonts w:ascii="Times New Roman" w:eastAsia="Times New Roman" w:hAnsi="Times New Roman" w:cs="Times New Roman"/>
          <w:color w:val="0D0D0D"/>
          <w:sz w:val="24"/>
          <w:szCs w:val="24"/>
          <w:lang w:eastAsia="tr-TR"/>
        </w:rPr>
      </w:pPr>
      <w:r w:rsidRPr="00034471">
        <w:rPr>
          <w:rFonts w:ascii="Arial" w:eastAsia="Times New Roman" w:hAnsi="Arial" w:cs="Arial"/>
          <w:b/>
          <w:bCs/>
          <w:color w:val="0D0D0D"/>
          <w:sz w:val="24"/>
          <w:szCs w:val="24"/>
          <w:u w:val="single"/>
          <w:lang w:eastAsia="tr-TR"/>
        </w:rPr>
        <w:t>ÖNEMLİ NOT:</w:t>
      </w:r>
      <w:r w:rsidRPr="00034471">
        <w:rPr>
          <w:rFonts w:ascii="Arial" w:eastAsia="Times New Roman" w:hAnsi="Arial" w:cs="Arial"/>
          <w:b/>
          <w:bCs/>
          <w:color w:val="FF0000"/>
          <w:sz w:val="24"/>
          <w:szCs w:val="24"/>
          <w:lang w:eastAsia="tr-TR"/>
        </w:rPr>
        <w:t> Yukarıdaki tutarlar en az ödenmesi gereken tutarlara göre belirlenmiştir. Son sermayeye göre ödenmesi gereken tutarlar değişiklik gösterebilir.</w:t>
      </w:r>
    </w:p>
    <w:p w:rsidR="00B64DCE" w:rsidRDefault="00B64DCE"/>
    <w:sectPr w:rsidR="00B64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B20"/>
    <w:multiLevelType w:val="multilevel"/>
    <w:tmpl w:val="8ED4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F1BBE"/>
    <w:multiLevelType w:val="multilevel"/>
    <w:tmpl w:val="08FC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B1D40"/>
    <w:multiLevelType w:val="multilevel"/>
    <w:tmpl w:val="A5D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13383"/>
    <w:multiLevelType w:val="multilevel"/>
    <w:tmpl w:val="E17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A52AA"/>
    <w:multiLevelType w:val="multilevel"/>
    <w:tmpl w:val="1D4A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F5043"/>
    <w:multiLevelType w:val="multilevel"/>
    <w:tmpl w:val="A9EA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810C3"/>
    <w:multiLevelType w:val="multilevel"/>
    <w:tmpl w:val="5E78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6711AA"/>
    <w:multiLevelType w:val="multilevel"/>
    <w:tmpl w:val="9324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71189"/>
    <w:multiLevelType w:val="multilevel"/>
    <w:tmpl w:val="F6C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76384F"/>
    <w:multiLevelType w:val="multilevel"/>
    <w:tmpl w:val="C96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FE52C5"/>
    <w:multiLevelType w:val="multilevel"/>
    <w:tmpl w:val="27DE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7458A7"/>
    <w:multiLevelType w:val="multilevel"/>
    <w:tmpl w:val="9F7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4C0D55"/>
    <w:multiLevelType w:val="multilevel"/>
    <w:tmpl w:val="5C2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476B6"/>
    <w:multiLevelType w:val="multilevel"/>
    <w:tmpl w:val="028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623E15"/>
    <w:multiLevelType w:val="multilevel"/>
    <w:tmpl w:val="DB4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22B93"/>
    <w:multiLevelType w:val="multilevel"/>
    <w:tmpl w:val="DC3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927DC"/>
    <w:multiLevelType w:val="multilevel"/>
    <w:tmpl w:val="C6C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F1E30"/>
    <w:multiLevelType w:val="multilevel"/>
    <w:tmpl w:val="B714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8870EF"/>
    <w:multiLevelType w:val="multilevel"/>
    <w:tmpl w:val="B50A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761E8B"/>
    <w:multiLevelType w:val="multilevel"/>
    <w:tmpl w:val="0866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7"/>
  </w:num>
  <w:num w:numId="4">
    <w:abstractNumId w:val="3"/>
  </w:num>
  <w:num w:numId="5">
    <w:abstractNumId w:val="8"/>
  </w:num>
  <w:num w:numId="6">
    <w:abstractNumId w:val="4"/>
  </w:num>
  <w:num w:numId="7">
    <w:abstractNumId w:val="16"/>
  </w:num>
  <w:num w:numId="8">
    <w:abstractNumId w:val="19"/>
  </w:num>
  <w:num w:numId="9">
    <w:abstractNumId w:val="6"/>
  </w:num>
  <w:num w:numId="10">
    <w:abstractNumId w:val="18"/>
  </w:num>
  <w:num w:numId="11">
    <w:abstractNumId w:val="1"/>
  </w:num>
  <w:num w:numId="12">
    <w:abstractNumId w:val="12"/>
  </w:num>
  <w:num w:numId="13">
    <w:abstractNumId w:val="11"/>
  </w:num>
  <w:num w:numId="14">
    <w:abstractNumId w:val="17"/>
  </w:num>
  <w:num w:numId="15">
    <w:abstractNumId w:val="5"/>
  </w:num>
  <w:num w:numId="16">
    <w:abstractNumId w:val="15"/>
  </w:num>
  <w:num w:numId="17">
    <w:abstractNumId w:val="2"/>
  </w:num>
  <w:num w:numId="18">
    <w:abstractNumId w:val="0"/>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4B"/>
    <w:rsid w:val="00034471"/>
    <w:rsid w:val="0005264B"/>
    <w:rsid w:val="0041356B"/>
    <w:rsid w:val="0077036C"/>
    <w:rsid w:val="00850CCE"/>
    <w:rsid w:val="00B64DCE"/>
    <w:rsid w:val="00CE1E98"/>
    <w:rsid w:val="00D97624"/>
    <w:rsid w:val="00EB3D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0C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0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8913">
      <w:bodyDiv w:val="1"/>
      <w:marLeft w:val="0"/>
      <w:marRight w:val="0"/>
      <w:marTop w:val="0"/>
      <w:marBottom w:val="0"/>
      <w:divBdr>
        <w:top w:val="none" w:sz="0" w:space="0" w:color="auto"/>
        <w:left w:val="none" w:sz="0" w:space="0" w:color="auto"/>
        <w:bottom w:val="none" w:sz="0" w:space="0" w:color="auto"/>
        <w:right w:val="none" w:sz="0" w:space="0" w:color="auto"/>
      </w:divBdr>
    </w:div>
    <w:div w:id="2103604886">
      <w:bodyDiv w:val="1"/>
      <w:marLeft w:val="0"/>
      <w:marRight w:val="0"/>
      <w:marTop w:val="0"/>
      <w:marBottom w:val="0"/>
      <w:divBdr>
        <w:top w:val="none" w:sz="0" w:space="0" w:color="auto"/>
        <w:left w:val="none" w:sz="0" w:space="0" w:color="auto"/>
        <w:bottom w:val="none" w:sz="0" w:space="0" w:color="auto"/>
        <w:right w:val="none" w:sz="0" w:space="0" w:color="auto"/>
      </w:divBdr>
      <w:divsChild>
        <w:div w:id="1019239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o.org.tr/documents/Ticaret-Sicil/dilekceler-belgeler/istirak_taahhutnamesi.doc" TargetMode="External"/><Relationship Id="rId3" Type="http://schemas.microsoft.com/office/2007/relationships/stylesWithEffects" Target="stylesWithEffects.xml"/><Relationship Id="rId7" Type="http://schemas.openxmlformats.org/officeDocument/2006/relationships/hyperlink" Target="https://www.ito.org.tr/documents/Ticaret-Sicil/dilekceler-belgeler/sermaye_beya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documents/Ticaret-Sicil/dilekceler-belgeler/sirket_genel_dilekc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1657</Words>
  <Characters>9446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BUDAK (İZNİK TİCARET SİCİLİ MÜDÜRLÜĞÜ)</dc:creator>
  <cp:keywords/>
  <dc:description/>
  <cp:lastModifiedBy>admin</cp:lastModifiedBy>
  <cp:revision>6</cp:revision>
  <dcterms:created xsi:type="dcterms:W3CDTF">2023-03-27T12:57:00Z</dcterms:created>
  <dcterms:modified xsi:type="dcterms:W3CDTF">2023-04-03T08:07:00Z</dcterms:modified>
</cp:coreProperties>
</file>